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方正小标宋简体" w:hAnsi="宋体" w:eastAsia="方正小标宋简体" w:cs="宋体"/>
          <w:b/>
          <w:bCs/>
          <w:color w:val="auto"/>
          <w:kern w:val="0"/>
          <w:sz w:val="72"/>
          <w:szCs w:val="53"/>
          <w:highlight w:val="none"/>
          <w:lang w:val="en-US" w:eastAsia="zh-CN"/>
        </w:rPr>
      </w:pPr>
      <w:r>
        <w:rPr>
          <w:rFonts w:hint="eastAsia" w:ascii="方正小标宋简体" w:hAnsi="宋体" w:eastAsia="方正小标宋简体" w:cs="宋体"/>
          <w:b/>
          <w:bCs/>
          <w:color w:val="auto"/>
          <w:kern w:val="0"/>
          <w:sz w:val="72"/>
          <w:szCs w:val="53"/>
          <w:highlight w:val="none"/>
          <w:lang w:val="en-US" w:eastAsia="zh-CN"/>
        </w:rPr>
        <w:t xml:space="preserve"> </w:t>
      </w:r>
    </w:p>
    <w:p>
      <w:pPr>
        <w:rPr>
          <w:color w:val="auto"/>
          <w:highlight w:val="none"/>
        </w:rPr>
      </w:pPr>
    </w:p>
    <w:p>
      <w:pPr>
        <w:widowControl/>
        <w:jc w:val="center"/>
        <w:rPr>
          <w:rFonts w:cs="宋体" w:asciiTheme="minorEastAsia" w:hAnsiTheme="minorEastAsia" w:eastAsiaTheme="minorEastAsia"/>
          <w:b/>
          <w:bCs/>
          <w:color w:val="auto"/>
          <w:kern w:val="0"/>
          <w:sz w:val="72"/>
          <w:szCs w:val="53"/>
          <w:highlight w:val="none"/>
        </w:rPr>
      </w:pPr>
      <w:r>
        <w:rPr>
          <w:rFonts w:hint="eastAsia" w:cs="宋体" w:asciiTheme="minorEastAsia" w:hAnsiTheme="minorEastAsia" w:eastAsiaTheme="minorEastAsia"/>
          <w:b/>
          <w:bCs/>
          <w:color w:val="auto"/>
          <w:kern w:val="0"/>
          <w:sz w:val="72"/>
          <w:szCs w:val="53"/>
          <w:highlight w:val="none"/>
        </w:rPr>
        <w:t>竞争性磋商文件</w:t>
      </w:r>
    </w:p>
    <w:p>
      <w:pPr>
        <w:widowControl/>
        <w:jc w:val="center"/>
        <w:rPr>
          <w:rFonts w:cs="宋体" w:asciiTheme="minorEastAsia" w:hAnsiTheme="minorEastAsia" w:eastAsiaTheme="minorEastAsia"/>
          <w:b/>
          <w:bCs/>
          <w:color w:val="auto"/>
          <w:kern w:val="0"/>
          <w:sz w:val="72"/>
          <w:szCs w:val="53"/>
          <w:highlight w:val="none"/>
        </w:rPr>
      </w:pPr>
    </w:p>
    <w:p>
      <w:pPr>
        <w:widowControl/>
        <w:jc w:val="center"/>
        <w:rPr>
          <w:rFonts w:ascii="方正小标宋简体" w:hAnsi="宋体" w:eastAsia="方正小标宋简体" w:cs="宋体"/>
          <w:bCs/>
          <w:color w:val="auto"/>
          <w:kern w:val="0"/>
          <w:sz w:val="72"/>
          <w:szCs w:val="53"/>
          <w:highlight w:val="none"/>
        </w:rPr>
      </w:pPr>
    </w:p>
    <w:p>
      <w:pPr>
        <w:widowControl/>
        <w:spacing w:line="360" w:lineRule="auto"/>
        <w:jc w:val="center"/>
        <w:rPr>
          <w:rFonts w:hint="eastAsia" w:asciiTheme="minorEastAsia" w:hAnsiTheme="minorEastAsia" w:eastAsiaTheme="minorEastAsia" w:cstheme="minorEastAsia"/>
          <w:b/>
          <w:bCs/>
          <w:color w:val="auto"/>
          <w:kern w:val="0"/>
          <w:sz w:val="32"/>
          <w:szCs w:val="32"/>
          <w:highlight w:val="none"/>
          <w:lang w:eastAsia="zh-CN"/>
        </w:rPr>
      </w:pPr>
      <w:r>
        <w:rPr>
          <w:rFonts w:hint="eastAsia" w:asciiTheme="minorEastAsia" w:hAnsiTheme="minorEastAsia" w:eastAsiaTheme="minorEastAsia" w:cstheme="minorEastAsia"/>
          <w:b/>
          <w:bCs/>
          <w:color w:val="auto"/>
          <w:kern w:val="0"/>
          <w:sz w:val="32"/>
          <w:szCs w:val="32"/>
          <w:highlight w:val="none"/>
        </w:rPr>
        <w:t>项目名称：</w:t>
      </w:r>
      <w:r>
        <w:rPr>
          <w:rFonts w:hint="eastAsia" w:asciiTheme="minorEastAsia" w:hAnsiTheme="minorEastAsia" w:eastAsiaTheme="minorEastAsia" w:cstheme="minorEastAsia"/>
          <w:b/>
          <w:bCs/>
          <w:color w:val="auto"/>
          <w:kern w:val="0"/>
          <w:sz w:val="32"/>
          <w:szCs w:val="32"/>
          <w:highlight w:val="none"/>
          <w:lang w:eastAsia="zh-CN"/>
        </w:rPr>
        <w:t>2025年度厦门市智慧民政一体化平台</w:t>
      </w:r>
    </w:p>
    <w:p>
      <w:pPr>
        <w:widowControl/>
        <w:spacing w:line="360" w:lineRule="auto"/>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kern w:val="0"/>
          <w:sz w:val="32"/>
          <w:szCs w:val="32"/>
          <w:highlight w:val="none"/>
          <w:lang w:eastAsia="zh-CN"/>
        </w:rPr>
        <w:t>网络安全等级保护测评整改和商用密码应用改造项目</w:t>
      </w:r>
    </w:p>
    <w:p>
      <w:pPr>
        <w:widowControl/>
        <w:spacing w:line="360" w:lineRule="auto"/>
        <w:jc w:val="center"/>
        <w:rPr>
          <w:rFonts w:cs="宋体" w:asciiTheme="minorEastAsia" w:hAnsiTheme="minorEastAsia" w:eastAsiaTheme="minorEastAsia"/>
          <w:color w:val="auto"/>
          <w:kern w:val="0"/>
          <w:sz w:val="32"/>
          <w:szCs w:val="32"/>
          <w:highlight w:val="none"/>
        </w:rPr>
      </w:pPr>
    </w:p>
    <w:p>
      <w:pPr>
        <w:widowControl/>
        <w:spacing w:line="360" w:lineRule="auto"/>
        <w:jc w:val="center"/>
        <w:rPr>
          <w:rFonts w:cs="宋体" w:asciiTheme="minorEastAsia" w:hAnsiTheme="minorEastAsia" w:eastAsiaTheme="minorEastAsia"/>
          <w:color w:val="auto"/>
          <w:kern w:val="0"/>
          <w:sz w:val="32"/>
          <w:szCs w:val="32"/>
          <w:highlight w:val="none"/>
        </w:rPr>
      </w:pPr>
    </w:p>
    <w:p>
      <w:pPr>
        <w:pStyle w:val="9"/>
        <w:rPr>
          <w:rFonts w:cs="宋体" w:asciiTheme="minorEastAsia" w:hAnsiTheme="minorEastAsia" w:eastAsiaTheme="minorEastAsia"/>
          <w:color w:val="auto"/>
          <w:sz w:val="32"/>
          <w:szCs w:val="32"/>
          <w:highlight w:val="none"/>
        </w:rPr>
      </w:pPr>
    </w:p>
    <w:p>
      <w:pPr>
        <w:pStyle w:val="9"/>
        <w:rPr>
          <w:rFonts w:cs="宋体" w:asciiTheme="minorEastAsia" w:hAnsiTheme="minorEastAsia" w:eastAsiaTheme="minorEastAsia"/>
          <w:color w:val="auto"/>
          <w:sz w:val="32"/>
          <w:szCs w:val="32"/>
          <w:highlight w:val="none"/>
        </w:rPr>
      </w:pPr>
    </w:p>
    <w:p>
      <w:pPr>
        <w:pStyle w:val="9"/>
        <w:rPr>
          <w:rFonts w:cs="宋体" w:asciiTheme="minorEastAsia" w:hAnsiTheme="minorEastAsia" w:eastAsiaTheme="minorEastAsia"/>
          <w:color w:val="auto"/>
          <w:sz w:val="32"/>
          <w:szCs w:val="32"/>
          <w:highlight w:val="none"/>
        </w:rPr>
      </w:pPr>
    </w:p>
    <w:p>
      <w:pPr>
        <w:pStyle w:val="9"/>
        <w:rPr>
          <w:rFonts w:cs="宋体" w:asciiTheme="minorEastAsia" w:hAnsiTheme="minorEastAsia" w:eastAsiaTheme="minorEastAsia"/>
          <w:color w:val="auto"/>
          <w:sz w:val="32"/>
          <w:szCs w:val="32"/>
          <w:highlight w:val="none"/>
        </w:rPr>
      </w:pPr>
    </w:p>
    <w:p>
      <w:pPr>
        <w:pStyle w:val="9"/>
        <w:rPr>
          <w:rFonts w:cs="宋体" w:asciiTheme="minorEastAsia" w:hAnsiTheme="minorEastAsia" w:eastAsiaTheme="minorEastAsia"/>
          <w:color w:val="auto"/>
          <w:sz w:val="32"/>
          <w:szCs w:val="32"/>
          <w:highlight w:val="none"/>
        </w:rPr>
      </w:pPr>
    </w:p>
    <w:p>
      <w:pPr>
        <w:pStyle w:val="9"/>
        <w:rPr>
          <w:rFonts w:cs="宋体" w:asciiTheme="minorEastAsia" w:hAnsiTheme="minorEastAsia" w:eastAsiaTheme="minorEastAsia"/>
          <w:color w:val="auto"/>
          <w:sz w:val="32"/>
          <w:szCs w:val="32"/>
          <w:highlight w:val="none"/>
        </w:rPr>
      </w:pPr>
    </w:p>
    <w:p>
      <w:pPr>
        <w:pStyle w:val="9"/>
        <w:rPr>
          <w:rFonts w:cs="宋体" w:asciiTheme="minorEastAsia" w:hAnsiTheme="minorEastAsia" w:eastAsiaTheme="minorEastAsia"/>
          <w:color w:val="auto"/>
          <w:sz w:val="32"/>
          <w:szCs w:val="32"/>
          <w:highlight w:val="none"/>
        </w:rPr>
      </w:pPr>
    </w:p>
    <w:p>
      <w:pPr>
        <w:widowControl/>
        <w:spacing w:line="360" w:lineRule="auto"/>
        <w:jc w:val="center"/>
        <w:rPr>
          <w:rFonts w:hint="eastAsia" w:cs="宋体" w:asciiTheme="minorEastAsia" w:hAnsiTheme="minorEastAsia" w:eastAsiaTheme="minorEastAsia"/>
          <w:color w:val="auto"/>
          <w:kern w:val="0"/>
          <w:sz w:val="32"/>
          <w:szCs w:val="32"/>
          <w:highlight w:val="none"/>
          <w:lang w:val="en-US" w:eastAsia="zh-CN"/>
        </w:rPr>
      </w:pPr>
      <w:r>
        <w:rPr>
          <w:rFonts w:cs="宋体" w:asciiTheme="minorEastAsia" w:hAnsiTheme="minorEastAsia" w:eastAsiaTheme="minorEastAsia"/>
          <w:b/>
          <w:bCs/>
          <w:color w:val="auto"/>
          <w:kern w:val="0"/>
          <w:sz w:val="32"/>
          <w:szCs w:val="32"/>
          <w:highlight w:val="none"/>
        </w:rPr>
        <w:t>采购人</w:t>
      </w:r>
      <w:r>
        <w:rPr>
          <w:rFonts w:hint="eastAsia" w:cs="宋体" w:asciiTheme="minorEastAsia" w:hAnsiTheme="minorEastAsia" w:eastAsiaTheme="minorEastAsia"/>
          <w:b/>
          <w:bCs/>
          <w:color w:val="auto"/>
          <w:kern w:val="0"/>
          <w:sz w:val="32"/>
          <w:szCs w:val="32"/>
          <w:highlight w:val="none"/>
        </w:rPr>
        <w:t>：厦门市</w:t>
      </w:r>
      <w:r>
        <w:rPr>
          <w:rFonts w:hint="eastAsia" w:cs="宋体" w:asciiTheme="minorEastAsia" w:hAnsiTheme="minorEastAsia" w:eastAsiaTheme="minorEastAsia"/>
          <w:b/>
          <w:bCs/>
          <w:color w:val="auto"/>
          <w:kern w:val="0"/>
          <w:sz w:val="32"/>
          <w:szCs w:val="32"/>
          <w:highlight w:val="none"/>
          <w:lang w:eastAsia="zh-CN"/>
        </w:rPr>
        <w:t>民政局</w:t>
      </w:r>
    </w:p>
    <w:p>
      <w:pPr>
        <w:widowControl/>
        <w:spacing w:line="360" w:lineRule="auto"/>
        <w:jc w:val="center"/>
        <w:rPr>
          <w:rFonts w:cs="宋体" w:asciiTheme="minorEastAsia" w:hAnsiTheme="minorEastAsia" w:eastAsiaTheme="minorEastAsia"/>
          <w:color w:val="auto"/>
          <w:kern w:val="0"/>
          <w:sz w:val="32"/>
          <w:szCs w:val="32"/>
          <w:highlight w:val="none"/>
        </w:rPr>
      </w:pPr>
    </w:p>
    <w:p>
      <w:pPr>
        <w:pStyle w:val="9"/>
        <w:rPr>
          <w:color w:val="auto"/>
          <w:highlight w:val="none"/>
        </w:rPr>
      </w:pPr>
    </w:p>
    <w:p>
      <w:pPr>
        <w:widowControl/>
        <w:spacing w:line="360" w:lineRule="auto"/>
        <w:jc w:val="center"/>
        <w:rPr>
          <w:rFonts w:cs="宋体" w:asciiTheme="minorEastAsia" w:hAnsiTheme="minorEastAsia" w:eastAsiaTheme="minorEastAsia"/>
          <w:color w:val="auto"/>
          <w:kern w:val="0"/>
          <w:sz w:val="32"/>
          <w:szCs w:val="32"/>
          <w:highlight w:val="none"/>
        </w:rPr>
      </w:pPr>
      <w:r>
        <w:rPr>
          <w:rFonts w:cs="宋体" w:asciiTheme="minorEastAsia" w:hAnsiTheme="minorEastAsia" w:eastAsiaTheme="minorEastAsia"/>
          <w:b/>
          <w:bCs/>
          <w:color w:val="auto"/>
          <w:kern w:val="0"/>
          <w:sz w:val="32"/>
          <w:szCs w:val="32"/>
          <w:highlight w:val="none"/>
        </w:rPr>
        <w:t>202</w:t>
      </w:r>
      <w:r>
        <w:rPr>
          <w:rFonts w:hint="eastAsia" w:cs="宋体" w:asciiTheme="minorEastAsia" w:hAnsiTheme="minorEastAsia" w:eastAsiaTheme="minorEastAsia"/>
          <w:b/>
          <w:bCs/>
          <w:color w:val="auto"/>
          <w:kern w:val="0"/>
          <w:sz w:val="32"/>
          <w:szCs w:val="32"/>
          <w:highlight w:val="none"/>
        </w:rPr>
        <w:t>5</w:t>
      </w:r>
      <w:r>
        <w:rPr>
          <w:rFonts w:cs="宋体" w:asciiTheme="minorEastAsia" w:hAnsiTheme="minorEastAsia" w:eastAsiaTheme="minorEastAsia"/>
          <w:b/>
          <w:bCs/>
          <w:color w:val="auto"/>
          <w:kern w:val="0"/>
          <w:sz w:val="32"/>
          <w:szCs w:val="32"/>
          <w:highlight w:val="none"/>
        </w:rPr>
        <w:t>年</w:t>
      </w:r>
      <w:r>
        <w:rPr>
          <w:rFonts w:hint="eastAsia" w:cs="宋体" w:asciiTheme="minorEastAsia" w:hAnsiTheme="minorEastAsia" w:eastAsiaTheme="minorEastAsia"/>
          <w:b/>
          <w:bCs/>
          <w:color w:val="auto"/>
          <w:kern w:val="0"/>
          <w:sz w:val="32"/>
          <w:szCs w:val="32"/>
          <w:highlight w:val="none"/>
          <w:lang w:val="en-US" w:eastAsia="zh-CN"/>
        </w:rPr>
        <w:t>10</w:t>
      </w:r>
      <w:r>
        <w:rPr>
          <w:rFonts w:cs="宋体" w:asciiTheme="minorEastAsia" w:hAnsiTheme="minorEastAsia" w:eastAsiaTheme="minorEastAsia"/>
          <w:b/>
          <w:bCs/>
          <w:color w:val="auto"/>
          <w:kern w:val="0"/>
          <w:sz w:val="32"/>
          <w:szCs w:val="32"/>
          <w:highlight w:val="none"/>
        </w:rPr>
        <w:t>月</w:t>
      </w:r>
    </w:p>
    <w:p>
      <w:pPr>
        <w:widowControl/>
        <w:spacing w:line="360" w:lineRule="auto"/>
        <w:ind w:right="532"/>
        <w:jc w:val="center"/>
        <w:rPr>
          <w:rFonts w:cs="宋体" w:asciiTheme="minorEastAsia" w:hAnsiTheme="minorEastAsia" w:eastAsiaTheme="minorEastAsia"/>
          <w:color w:val="auto"/>
          <w:kern w:val="0"/>
          <w:sz w:val="28"/>
          <w:szCs w:val="28"/>
          <w:highlight w:val="none"/>
        </w:rPr>
        <w:sectPr>
          <w:footerReference r:id="rId6" w:type="first"/>
          <w:footerReference r:id="rId4" w:type="default"/>
          <w:headerReference r:id="rId3" w:type="even"/>
          <w:footerReference r:id="rId5" w:type="even"/>
          <w:type w:val="nextColumn"/>
          <w:pgSz w:w="11906" w:h="16838"/>
          <w:pgMar w:top="1418" w:right="1418" w:bottom="1418" w:left="1418" w:header="851" w:footer="992" w:gutter="0"/>
          <w:pgNumType w:fmt="decimal" w:start="1"/>
          <w:cols w:space="720" w:num="1"/>
          <w:titlePg/>
          <w:docGrid w:linePitch="312" w:charSpace="0"/>
        </w:sectPr>
      </w:pPr>
    </w:p>
    <w:p>
      <w:pPr>
        <w:rPr>
          <w:color w:val="auto"/>
          <w:highlight w:val="none"/>
        </w:rPr>
      </w:pPr>
    </w:p>
    <w:sdt>
      <w:sdtPr>
        <w:rPr>
          <w:rFonts w:ascii="Times New Roman" w:hAnsi="Times New Roman"/>
          <w:b w:val="0"/>
          <w:bCs w:val="0"/>
          <w:color w:val="auto"/>
          <w:kern w:val="2"/>
          <w:sz w:val="21"/>
          <w:szCs w:val="24"/>
          <w:highlight w:val="none"/>
          <w:lang w:val="zh-CN"/>
        </w:rPr>
        <w:id w:val="4463516"/>
        <w:docPartObj>
          <w:docPartGallery w:val="Table of Contents"/>
          <w:docPartUnique/>
        </w:docPartObj>
      </w:sdtPr>
      <w:sdtEndPr>
        <w:rPr>
          <w:rFonts w:ascii="Times New Roman" w:hAnsi="Times New Roman"/>
          <w:b w:val="0"/>
          <w:bCs w:val="0"/>
          <w:color w:val="auto"/>
          <w:kern w:val="2"/>
          <w:sz w:val="21"/>
          <w:szCs w:val="24"/>
          <w:highlight w:val="none"/>
          <w:lang w:val="en-US"/>
        </w:rPr>
      </w:sdtEndPr>
      <w:sdtContent>
        <w:p>
          <w:pPr>
            <w:pStyle w:val="95"/>
            <w:spacing w:before="240" w:after="240" w:line="240" w:lineRule="auto"/>
            <w:jc w:val="center"/>
            <w:rPr>
              <w:color w:val="auto"/>
              <w:sz w:val="32"/>
              <w:highlight w:val="none"/>
            </w:rPr>
          </w:pPr>
          <w:r>
            <w:rPr>
              <w:color w:val="auto"/>
              <w:sz w:val="32"/>
              <w:highlight w:val="none"/>
              <w:lang w:val="zh-CN"/>
            </w:rPr>
            <w:t>目</w:t>
          </w:r>
          <w:r>
            <w:rPr>
              <w:rFonts w:hint="eastAsia"/>
              <w:color w:val="auto"/>
              <w:sz w:val="32"/>
              <w:highlight w:val="none"/>
              <w:lang w:val="zh-CN"/>
            </w:rPr>
            <w:t xml:space="preserve">  </w:t>
          </w:r>
          <w:r>
            <w:rPr>
              <w:color w:val="auto"/>
              <w:sz w:val="32"/>
              <w:highlight w:val="none"/>
              <w:lang w:val="zh-CN"/>
            </w:rPr>
            <w:t>录</w:t>
          </w:r>
        </w:p>
        <w:p>
          <w:pPr>
            <w:pStyle w:val="28"/>
            <w:tabs>
              <w:tab w:val="right" w:leader="dot" w:pos="9060"/>
            </w:tabs>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"_Toc77513635" </w:instrText>
          </w:r>
          <w:r>
            <w:rPr>
              <w:color w:val="auto"/>
              <w:highlight w:val="none"/>
            </w:rPr>
            <w:fldChar w:fldCharType="separate"/>
          </w:r>
          <w:r>
            <w:rPr>
              <w:rStyle w:val="47"/>
              <w:rFonts w:hint="eastAsia"/>
              <w:color w:val="auto"/>
              <w:highlight w:val="none"/>
            </w:rPr>
            <w:t>第一章</w:t>
          </w:r>
          <w:r>
            <w:rPr>
              <w:rStyle w:val="47"/>
              <w:rFonts w:ascii="宋体" w:hAnsi="宋体" w:cs="宋体"/>
              <w:color w:val="auto"/>
              <w:highlight w:val="none"/>
            </w:rPr>
            <w:t xml:space="preserve">  </w:t>
          </w:r>
          <w:r>
            <w:rPr>
              <w:rStyle w:val="47"/>
              <w:rFonts w:hint="eastAsia"/>
              <w:color w:val="auto"/>
              <w:highlight w:val="none"/>
            </w:rPr>
            <w:t>采购邀请书</w:t>
          </w:r>
          <w:r>
            <w:rPr>
              <w:color w:val="auto"/>
              <w:highlight w:val="none"/>
            </w:rPr>
            <w:tab/>
          </w:r>
          <w:r>
            <w:rPr>
              <w:color w:val="auto"/>
              <w:highlight w:val="none"/>
            </w:rPr>
            <w:fldChar w:fldCharType="begin"/>
          </w:r>
          <w:r>
            <w:rPr>
              <w:color w:val="auto"/>
              <w:highlight w:val="none"/>
            </w:rPr>
            <w:instrText xml:space="preserve"> PAGEREF _Toc77513635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8"/>
            <w:tabs>
              <w:tab w:val="right" w:leader="dot" w:pos="9060"/>
            </w:tabs>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"_Toc77513636" </w:instrText>
          </w:r>
          <w:r>
            <w:rPr>
              <w:color w:val="auto"/>
              <w:highlight w:val="none"/>
            </w:rPr>
            <w:fldChar w:fldCharType="separate"/>
          </w:r>
          <w:r>
            <w:rPr>
              <w:rStyle w:val="47"/>
              <w:rFonts w:hint="eastAsia" w:ascii="黑体" w:hAnsi="黑体"/>
              <w:color w:val="auto"/>
              <w:highlight w:val="none"/>
            </w:rPr>
            <w:t>第二章</w:t>
          </w:r>
          <w:r>
            <w:rPr>
              <w:rStyle w:val="47"/>
              <w:rFonts w:ascii="黑体" w:hAnsi="黑体"/>
              <w:color w:val="auto"/>
              <w:highlight w:val="none"/>
            </w:rPr>
            <w:t xml:space="preserve">  </w:t>
          </w:r>
          <w:r>
            <w:rPr>
              <w:rStyle w:val="47"/>
              <w:rFonts w:hint="eastAsia" w:ascii="黑体" w:hAnsi="黑体"/>
              <w:color w:val="auto"/>
              <w:highlight w:val="none"/>
            </w:rPr>
            <w:t>竞争性磋商须知</w:t>
          </w:r>
          <w:r>
            <w:rPr>
              <w:color w:val="auto"/>
              <w:highlight w:val="none"/>
            </w:rPr>
            <w:tab/>
          </w:r>
          <w:r>
            <w:rPr>
              <w:color w:val="auto"/>
              <w:highlight w:val="none"/>
            </w:rPr>
            <w:fldChar w:fldCharType="begin"/>
          </w:r>
          <w:r>
            <w:rPr>
              <w:color w:val="auto"/>
              <w:highlight w:val="none"/>
            </w:rPr>
            <w:instrText xml:space="preserve"> PAGEREF _Toc77513636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34"/>
            <w:tabs>
              <w:tab w:val="right" w:leader="dot" w:pos="9060"/>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"_Toc77513637" </w:instrText>
          </w:r>
          <w:r>
            <w:rPr>
              <w:color w:val="auto"/>
              <w:highlight w:val="none"/>
            </w:rPr>
            <w:fldChar w:fldCharType="separate"/>
          </w:r>
          <w:r>
            <w:rPr>
              <w:rStyle w:val="47"/>
              <w:rFonts w:hint="eastAsia"/>
              <w:color w:val="auto"/>
              <w:kern w:val="0"/>
              <w:highlight w:val="none"/>
            </w:rPr>
            <w:t>第</w:t>
          </w:r>
          <w:r>
            <w:rPr>
              <w:rStyle w:val="47"/>
              <w:color w:val="auto"/>
              <w:kern w:val="0"/>
              <w:highlight w:val="none"/>
            </w:rPr>
            <w:t>1</w:t>
          </w:r>
          <w:r>
            <w:rPr>
              <w:rStyle w:val="47"/>
              <w:rFonts w:hint="eastAsia"/>
              <w:color w:val="auto"/>
              <w:kern w:val="0"/>
              <w:highlight w:val="none"/>
            </w:rPr>
            <w:t>节</w:t>
          </w:r>
          <w:r>
            <w:rPr>
              <w:rStyle w:val="47"/>
              <w:color w:val="auto"/>
              <w:kern w:val="0"/>
              <w:highlight w:val="none"/>
            </w:rPr>
            <w:t xml:space="preserve">  </w:t>
          </w:r>
          <w:r>
            <w:rPr>
              <w:rStyle w:val="47"/>
              <w:rFonts w:hint="eastAsia"/>
              <w:color w:val="auto"/>
              <w:kern w:val="0"/>
              <w:highlight w:val="none"/>
            </w:rPr>
            <w:t>竞争性磋商须知前附表</w:t>
          </w:r>
          <w:r>
            <w:rPr>
              <w:color w:val="auto"/>
              <w:highlight w:val="none"/>
            </w:rPr>
            <w:tab/>
          </w:r>
          <w:r>
            <w:rPr>
              <w:color w:val="auto"/>
              <w:highlight w:val="none"/>
            </w:rPr>
            <w:fldChar w:fldCharType="begin"/>
          </w:r>
          <w:r>
            <w:rPr>
              <w:color w:val="auto"/>
              <w:highlight w:val="none"/>
            </w:rPr>
            <w:instrText xml:space="preserve"> PAGEREF _Toc77513637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9"/>
            <w:tabs>
              <w:tab w:val="right" w:leader="dot" w:pos="9060"/>
            </w:tabs>
            <w:rPr>
              <w:rFonts w:asciiTheme="minorHAnsi" w:hAnsiTheme="minorHAnsi" w:eastAsiaTheme="minorEastAsia" w:cstheme="minorBidi"/>
              <w:iCs w:val="0"/>
              <w:color w:val="auto"/>
              <w:sz w:val="21"/>
              <w:szCs w:val="22"/>
              <w:highlight w:val="none"/>
            </w:rPr>
          </w:pPr>
          <w:r>
            <w:rPr>
              <w:color w:val="auto"/>
              <w:highlight w:val="none"/>
            </w:rPr>
            <w:fldChar w:fldCharType="begin"/>
          </w:r>
          <w:r>
            <w:rPr>
              <w:color w:val="auto"/>
              <w:highlight w:val="none"/>
            </w:rPr>
            <w:instrText xml:space="preserve"> HYPERLINK \l "_Toc77513638" </w:instrText>
          </w:r>
          <w:r>
            <w:rPr>
              <w:color w:val="auto"/>
              <w:highlight w:val="none"/>
            </w:rPr>
            <w:fldChar w:fldCharType="separate"/>
          </w:r>
          <w:r>
            <w:rPr>
              <w:rStyle w:val="47"/>
              <w:rFonts w:hint="eastAsia"/>
              <w:color w:val="auto"/>
              <w:kern w:val="0"/>
              <w:highlight w:val="none"/>
            </w:rPr>
            <w:t>专项附件：评审的标准和方法</w:t>
          </w:r>
          <w:r>
            <w:rPr>
              <w:color w:val="auto"/>
              <w:highlight w:val="none"/>
            </w:rPr>
            <w:tab/>
          </w:r>
          <w:r>
            <w:rPr>
              <w:color w:val="auto"/>
              <w:highlight w:val="none"/>
            </w:rPr>
            <w:fldChar w:fldCharType="begin"/>
          </w:r>
          <w:r>
            <w:rPr>
              <w:color w:val="auto"/>
              <w:highlight w:val="none"/>
            </w:rPr>
            <w:instrText xml:space="preserve"> PAGEREF _Toc77513638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4"/>
            <w:tabs>
              <w:tab w:val="right" w:leader="dot" w:pos="9060"/>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"_Toc77513639" </w:instrText>
          </w:r>
          <w:r>
            <w:rPr>
              <w:color w:val="auto"/>
              <w:highlight w:val="none"/>
            </w:rPr>
            <w:fldChar w:fldCharType="separate"/>
          </w:r>
          <w:r>
            <w:rPr>
              <w:rStyle w:val="47"/>
              <w:rFonts w:hint="eastAsia"/>
              <w:color w:val="auto"/>
              <w:kern w:val="0"/>
              <w:highlight w:val="none"/>
            </w:rPr>
            <w:t>第</w:t>
          </w:r>
          <w:r>
            <w:rPr>
              <w:rStyle w:val="47"/>
              <w:color w:val="auto"/>
              <w:kern w:val="0"/>
              <w:highlight w:val="none"/>
            </w:rPr>
            <w:t>2</w:t>
          </w:r>
          <w:r>
            <w:rPr>
              <w:rStyle w:val="47"/>
              <w:rFonts w:hint="eastAsia"/>
              <w:color w:val="auto"/>
              <w:kern w:val="0"/>
              <w:highlight w:val="none"/>
            </w:rPr>
            <w:t>节</w:t>
          </w:r>
          <w:r>
            <w:rPr>
              <w:rStyle w:val="47"/>
              <w:color w:val="auto"/>
              <w:kern w:val="0"/>
              <w:highlight w:val="none"/>
            </w:rPr>
            <w:t xml:space="preserve">  </w:t>
          </w:r>
          <w:r>
            <w:rPr>
              <w:rStyle w:val="47"/>
              <w:rFonts w:hint="eastAsia"/>
              <w:color w:val="auto"/>
              <w:kern w:val="0"/>
              <w:highlight w:val="none"/>
            </w:rPr>
            <w:t>竞争性磋商须知</w:t>
          </w:r>
          <w:r>
            <w:rPr>
              <w:color w:val="auto"/>
              <w:highlight w:val="none"/>
            </w:rPr>
            <w:tab/>
          </w:r>
          <w:r>
            <w:rPr>
              <w:color w:val="auto"/>
              <w:highlight w:val="none"/>
            </w:rPr>
            <w:fldChar w:fldCharType="begin"/>
          </w:r>
          <w:r>
            <w:rPr>
              <w:color w:val="auto"/>
              <w:highlight w:val="none"/>
            </w:rPr>
            <w:instrText xml:space="preserve"> PAGEREF _Toc77513639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9"/>
            <w:tabs>
              <w:tab w:val="right" w:leader="dot" w:pos="9060"/>
            </w:tabs>
            <w:rPr>
              <w:rFonts w:asciiTheme="minorHAnsi" w:hAnsiTheme="minorHAnsi" w:eastAsiaTheme="minorEastAsia" w:cstheme="minorBidi"/>
              <w:iCs w:val="0"/>
              <w:color w:val="auto"/>
              <w:sz w:val="21"/>
              <w:szCs w:val="22"/>
              <w:highlight w:val="none"/>
            </w:rPr>
          </w:pPr>
          <w:r>
            <w:rPr>
              <w:color w:val="auto"/>
              <w:highlight w:val="none"/>
            </w:rPr>
            <w:fldChar w:fldCharType="begin"/>
          </w:r>
          <w:r>
            <w:rPr>
              <w:color w:val="auto"/>
              <w:highlight w:val="none"/>
            </w:rPr>
            <w:instrText xml:space="preserve"> HYPERLINK \l "_Toc77513640" </w:instrText>
          </w:r>
          <w:r>
            <w:rPr>
              <w:color w:val="auto"/>
              <w:highlight w:val="none"/>
            </w:rPr>
            <w:fldChar w:fldCharType="separate"/>
          </w:r>
          <w:r>
            <w:rPr>
              <w:rStyle w:val="47"/>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_Toc77513640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9"/>
            <w:tabs>
              <w:tab w:val="right" w:leader="dot" w:pos="9060"/>
            </w:tabs>
            <w:rPr>
              <w:rFonts w:asciiTheme="minorHAnsi" w:hAnsiTheme="minorHAnsi" w:eastAsiaTheme="minorEastAsia" w:cstheme="minorBidi"/>
              <w:iCs w:val="0"/>
              <w:color w:val="auto"/>
              <w:sz w:val="21"/>
              <w:szCs w:val="22"/>
              <w:highlight w:val="none"/>
            </w:rPr>
          </w:pPr>
          <w:r>
            <w:rPr>
              <w:color w:val="auto"/>
              <w:highlight w:val="none"/>
            </w:rPr>
            <w:fldChar w:fldCharType="begin"/>
          </w:r>
          <w:r>
            <w:rPr>
              <w:color w:val="auto"/>
              <w:highlight w:val="none"/>
            </w:rPr>
            <w:instrText xml:space="preserve"> HYPERLINK \l "_Toc77513641" </w:instrText>
          </w:r>
          <w:r>
            <w:rPr>
              <w:color w:val="auto"/>
              <w:highlight w:val="none"/>
            </w:rPr>
            <w:fldChar w:fldCharType="separate"/>
          </w:r>
          <w:r>
            <w:rPr>
              <w:rStyle w:val="47"/>
              <w:rFonts w:hint="eastAsia"/>
              <w:color w:val="auto"/>
              <w:highlight w:val="none"/>
            </w:rPr>
            <w:t>二、竞争性磋商文件</w:t>
          </w:r>
          <w:r>
            <w:rPr>
              <w:color w:val="auto"/>
              <w:highlight w:val="none"/>
            </w:rPr>
            <w:tab/>
          </w:r>
          <w:r>
            <w:rPr>
              <w:color w:val="auto"/>
              <w:highlight w:val="none"/>
            </w:rPr>
            <w:fldChar w:fldCharType="begin"/>
          </w:r>
          <w:r>
            <w:rPr>
              <w:color w:val="auto"/>
              <w:highlight w:val="none"/>
            </w:rPr>
            <w:instrText xml:space="preserve"> PAGEREF _Toc77513641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9"/>
            <w:tabs>
              <w:tab w:val="right" w:leader="dot" w:pos="9060"/>
            </w:tabs>
            <w:rPr>
              <w:rFonts w:asciiTheme="minorHAnsi" w:hAnsiTheme="minorHAnsi" w:eastAsiaTheme="minorEastAsia" w:cstheme="minorBidi"/>
              <w:iCs w:val="0"/>
              <w:color w:val="auto"/>
              <w:sz w:val="21"/>
              <w:szCs w:val="22"/>
              <w:highlight w:val="none"/>
            </w:rPr>
          </w:pPr>
          <w:r>
            <w:rPr>
              <w:color w:val="auto"/>
              <w:highlight w:val="none"/>
            </w:rPr>
            <w:fldChar w:fldCharType="begin"/>
          </w:r>
          <w:r>
            <w:rPr>
              <w:color w:val="auto"/>
              <w:highlight w:val="none"/>
            </w:rPr>
            <w:instrText xml:space="preserve"> HYPERLINK \l "_Toc77513642" </w:instrText>
          </w:r>
          <w:r>
            <w:rPr>
              <w:color w:val="auto"/>
              <w:highlight w:val="none"/>
            </w:rPr>
            <w:fldChar w:fldCharType="separate"/>
          </w:r>
          <w:r>
            <w:rPr>
              <w:rStyle w:val="47"/>
              <w:rFonts w:hint="eastAsia"/>
              <w:color w:val="auto"/>
              <w:highlight w:val="none"/>
            </w:rPr>
            <w:t>三、响应文件编制</w:t>
          </w:r>
          <w:r>
            <w:rPr>
              <w:color w:val="auto"/>
              <w:highlight w:val="none"/>
            </w:rPr>
            <w:tab/>
          </w:r>
          <w:r>
            <w:rPr>
              <w:color w:val="auto"/>
              <w:highlight w:val="none"/>
            </w:rPr>
            <w:fldChar w:fldCharType="begin"/>
          </w:r>
          <w:r>
            <w:rPr>
              <w:color w:val="auto"/>
              <w:highlight w:val="none"/>
            </w:rPr>
            <w:instrText xml:space="preserve"> PAGEREF _Toc77513642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9"/>
            <w:tabs>
              <w:tab w:val="right" w:leader="dot" w:pos="9060"/>
            </w:tabs>
            <w:rPr>
              <w:rFonts w:asciiTheme="minorHAnsi" w:hAnsiTheme="minorHAnsi" w:eastAsiaTheme="minorEastAsia" w:cstheme="minorBidi"/>
              <w:iCs w:val="0"/>
              <w:color w:val="auto"/>
              <w:sz w:val="21"/>
              <w:szCs w:val="22"/>
              <w:highlight w:val="none"/>
            </w:rPr>
          </w:pPr>
          <w:r>
            <w:rPr>
              <w:color w:val="auto"/>
              <w:highlight w:val="none"/>
            </w:rPr>
            <w:fldChar w:fldCharType="begin"/>
          </w:r>
          <w:r>
            <w:rPr>
              <w:color w:val="auto"/>
              <w:highlight w:val="none"/>
            </w:rPr>
            <w:instrText xml:space="preserve"> HYPERLINK \l "_Toc77513643" </w:instrText>
          </w:r>
          <w:r>
            <w:rPr>
              <w:color w:val="auto"/>
              <w:highlight w:val="none"/>
            </w:rPr>
            <w:fldChar w:fldCharType="separate"/>
          </w:r>
          <w:r>
            <w:rPr>
              <w:rStyle w:val="47"/>
              <w:rFonts w:hint="eastAsia"/>
              <w:color w:val="auto"/>
              <w:highlight w:val="none"/>
            </w:rPr>
            <w:t>四、竞争性磋商</w:t>
          </w:r>
          <w:r>
            <w:rPr>
              <w:color w:val="auto"/>
              <w:highlight w:val="none"/>
            </w:rPr>
            <w:tab/>
          </w:r>
          <w:r>
            <w:rPr>
              <w:color w:val="auto"/>
              <w:highlight w:val="none"/>
            </w:rPr>
            <w:fldChar w:fldCharType="begin"/>
          </w:r>
          <w:r>
            <w:rPr>
              <w:color w:val="auto"/>
              <w:highlight w:val="none"/>
            </w:rPr>
            <w:instrText xml:space="preserve"> PAGEREF _Toc77513643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9"/>
            <w:tabs>
              <w:tab w:val="right" w:leader="dot" w:pos="9060"/>
            </w:tabs>
            <w:rPr>
              <w:rFonts w:asciiTheme="minorHAnsi" w:hAnsiTheme="minorHAnsi" w:eastAsiaTheme="minorEastAsia" w:cstheme="minorBidi"/>
              <w:iCs w:val="0"/>
              <w:color w:val="auto"/>
              <w:sz w:val="21"/>
              <w:szCs w:val="22"/>
              <w:highlight w:val="none"/>
            </w:rPr>
          </w:pPr>
          <w:r>
            <w:rPr>
              <w:color w:val="auto"/>
              <w:highlight w:val="none"/>
            </w:rPr>
            <w:fldChar w:fldCharType="begin"/>
          </w:r>
          <w:r>
            <w:rPr>
              <w:color w:val="auto"/>
              <w:highlight w:val="none"/>
            </w:rPr>
            <w:instrText xml:space="preserve"> HYPERLINK \l "_Toc77513644" </w:instrText>
          </w:r>
          <w:r>
            <w:rPr>
              <w:color w:val="auto"/>
              <w:highlight w:val="none"/>
            </w:rPr>
            <w:fldChar w:fldCharType="separate"/>
          </w:r>
          <w:r>
            <w:rPr>
              <w:rStyle w:val="47"/>
              <w:rFonts w:hint="eastAsia"/>
              <w:color w:val="auto"/>
              <w:highlight w:val="none"/>
            </w:rPr>
            <w:t>五、合同授予</w:t>
          </w:r>
          <w:r>
            <w:rPr>
              <w:color w:val="auto"/>
              <w:highlight w:val="none"/>
            </w:rPr>
            <w:tab/>
          </w:r>
          <w:r>
            <w:rPr>
              <w:color w:val="auto"/>
              <w:highlight w:val="none"/>
            </w:rPr>
            <w:fldChar w:fldCharType="begin"/>
          </w:r>
          <w:r>
            <w:rPr>
              <w:color w:val="auto"/>
              <w:highlight w:val="none"/>
            </w:rPr>
            <w:instrText xml:space="preserve"> PAGEREF _Toc77513644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9"/>
            <w:tabs>
              <w:tab w:val="right" w:leader="dot" w:pos="9060"/>
            </w:tabs>
            <w:rPr>
              <w:rFonts w:asciiTheme="minorHAnsi" w:hAnsiTheme="minorHAnsi" w:eastAsiaTheme="minorEastAsia" w:cstheme="minorBidi"/>
              <w:iCs w:val="0"/>
              <w:color w:val="auto"/>
              <w:sz w:val="21"/>
              <w:szCs w:val="22"/>
              <w:highlight w:val="none"/>
            </w:rPr>
          </w:pPr>
          <w:r>
            <w:rPr>
              <w:color w:val="auto"/>
              <w:highlight w:val="none"/>
            </w:rPr>
            <w:fldChar w:fldCharType="begin"/>
          </w:r>
          <w:r>
            <w:rPr>
              <w:color w:val="auto"/>
              <w:highlight w:val="none"/>
            </w:rPr>
            <w:instrText xml:space="preserve"> HYPERLINK \l "_Toc77513645" </w:instrText>
          </w:r>
          <w:r>
            <w:rPr>
              <w:color w:val="auto"/>
              <w:highlight w:val="none"/>
            </w:rPr>
            <w:fldChar w:fldCharType="separate"/>
          </w:r>
          <w:r>
            <w:rPr>
              <w:rStyle w:val="47"/>
              <w:rFonts w:hint="eastAsia"/>
              <w:color w:val="auto"/>
              <w:highlight w:val="none"/>
            </w:rPr>
            <w:t>六、询问与质疑</w:t>
          </w:r>
          <w:r>
            <w:rPr>
              <w:color w:val="auto"/>
              <w:highlight w:val="none"/>
            </w:rPr>
            <w:tab/>
          </w:r>
          <w:r>
            <w:rPr>
              <w:color w:val="auto"/>
              <w:highlight w:val="none"/>
            </w:rPr>
            <w:fldChar w:fldCharType="begin"/>
          </w:r>
          <w:r>
            <w:rPr>
              <w:color w:val="auto"/>
              <w:highlight w:val="none"/>
            </w:rPr>
            <w:instrText xml:space="preserve"> PAGEREF _Toc77513645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9"/>
            <w:tabs>
              <w:tab w:val="right" w:leader="dot" w:pos="9060"/>
            </w:tabs>
            <w:rPr>
              <w:rFonts w:asciiTheme="minorHAnsi" w:hAnsiTheme="minorHAnsi" w:eastAsiaTheme="minorEastAsia" w:cstheme="minorBidi"/>
              <w:iCs w:val="0"/>
              <w:color w:val="auto"/>
              <w:sz w:val="21"/>
              <w:szCs w:val="22"/>
              <w:highlight w:val="none"/>
            </w:rPr>
          </w:pPr>
          <w:r>
            <w:rPr>
              <w:color w:val="auto"/>
              <w:highlight w:val="none"/>
            </w:rPr>
            <w:fldChar w:fldCharType="begin"/>
          </w:r>
          <w:r>
            <w:rPr>
              <w:color w:val="auto"/>
              <w:highlight w:val="none"/>
            </w:rPr>
            <w:instrText xml:space="preserve"> HYPERLINK \l "_Toc77513646" </w:instrText>
          </w:r>
          <w:r>
            <w:rPr>
              <w:color w:val="auto"/>
              <w:highlight w:val="none"/>
            </w:rPr>
            <w:fldChar w:fldCharType="separate"/>
          </w:r>
          <w:r>
            <w:rPr>
              <w:rStyle w:val="47"/>
              <w:rFonts w:hint="eastAsia"/>
              <w:color w:val="auto"/>
              <w:highlight w:val="none"/>
            </w:rPr>
            <w:t>七、有关信息公告</w:t>
          </w:r>
          <w:r>
            <w:rPr>
              <w:color w:val="auto"/>
              <w:highlight w:val="none"/>
            </w:rPr>
            <w:tab/>
          </w:r>
          <w:r>
            <w:rPr>
              <w:color w:val="auto"/>
              <w:highlight w:val="none"/>
            </w:rPr>
            <w:fldChar w:fldCharType="begin"/>
          </w:r>
          <w:r>
            <w:rPr>
              <w:color w:val="auto"/>
              <w:highlight w:val="none"/>
            </w:rPr>
            <w:instrText xml:space="preserve"> PAGEREF _Toc77513646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9"/>
            <w:tabs>
              <w:tab w:val="right" w:leader="dot" w:pos="9060"/>
            </w:tabs>
            <w:rPr>
              <w:rFonts w:asciiTheme="minorHAnsi" w:hAnsiTheme="minorHAnsi" w:eastAsiaTheme="minorEastAsia" w:cstheme="minorBidi"/>
              <w:iCs w:val="0"/>
              <w:color w:val="auto"/>
              <w:sz w:val="21"/>
              <w:szCs w:val="22"/>
              <w:highlight w:val="none"/>
            </w:rPr>
          </w:pPr>
          <w:r>
            <w:rPr>
              <w:color w:val="auto"/>
              <w:highlight w:val="none"/>
            </w:rPr>
            <w:fldChar w:fldCharType="begin"/>
          </w:r>
          <w:r>
            <w:rPr>
              <w:color w:val="auto"/>
              <w:highlight w:val="none"/>
            </w:rPr>
            <w:instrText xml:space="preserve"> HYPERLINK \l "_Toc77513647" </w:instrText>
          </w:r>
          <w:r>
            <w:rPr>
              <w:color w:val="auto"/>
              <w:highlight w:val="none"/>
            </w:rPr>
            <w:fldChar w:fldCharType="separate"/>
          </w:r>
          <w:r>
            <w:rPr>
              <w:rStyle w:val="47"/>
              <w:rFonts w:hint="eastAsia"/>
              <w:color w:val="auto"/>
              <w:highlight w:val="none"/>
            </w:rPr>
            <w:t>八、根据采购项目特点或政策需要补充的其他内容</w:t>
          </w:r>
          <w:r>
            <w:rPr>
              <w:color w:val="auto"/>
              <w:highlight w:val="none"/>
            </w:rPr>
            <w:tab/>
          </w:r>
          <w:r>
            <w:rPr>
              <w:color w:val="auto"/>
              <w:highlight w:val="none"/>
            </w:rPr>
            <w:fldChar w:fldCharType="begin"/>
          </w:r>
          <w:r>
            <w:rPr>
              <w:color w:val="auto"/>
              <w:highlight w:val="none"/>
            </w:rPr>
            <w:instrText xml:space="preserve"> PAGEREF _Toc77513647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9"/>
            <w:tabs>
              <w:tab w:val="right" w:leader="dot" w:pos="9060"/>
            </w:tabs>
            <w:rPr>
              <w:rFonts w:asciiTheme="minorHAnsi" w:hAnsiTheme="minorHAnsi" w:eastAsiaTheme="minorEastAsia" w:cstheme="minorBidi"/>
              <w:iCs w:val="0"/>
              <w:color w:val="auto"/>
              <w:sz w:val="21"/>
              <w:szCs w:val="22"/>
              <w:highlight w:val="none"/>
            </w:rPr>
          </w:pPr>
          <w:r>
            <w:rPr>
              <w:color w:val="auto"/>
              <w:highlight w:val="none"/>
            </w:rPr>
            <w:fldChar w:fldCharType="begin"/>
          </w:r>
          <w:r>
            <w:rPr>
              <w:color w:val="auto"/>
              <w:highlight w:val="none"/>
            </w:rPr>
            <w:instrText xml:space="preserve"> HYPERLINK \l "_Toc77513648" </w:instrText>
          </w:r>
          <w:r>
            <w:rPr>
              <w:color w:val="auto"/>
              <w:highlight w:val="none"/>
            </w:rPr>
            <w:fldChar w:fldCharType="separate"/>
          </w:r>
          <w:r>
            <w:rPr>
              <w:rStyle w:val="47"/>
              <w:rFonts w:hint="eastAsia"/>
              <w:color w:val="auto"/>
              <w:highlight w:val="none"/>
            </w:rPr>
            <w:t>九、</w:t>
          </w:r>
          <w:r>
            <w:rPr>
              <w:rStyle w:val="47"/>
              <w:rFonts w:hint="eastAsia"/>
              <w:color w:val="auto"/>
              <w:kern w:val="0"/>
              <w:highlight w:val="none"/>
            </w:rPr>
            <w:t>采购政策</w:t>
          </w:r>
          <w:r>
            <w:rPr>
              <w:color w:val="auto"/>
              <w:highlight w:val="none"/>
            </w:rPr>
            <w:tab/>
          </w:r>
          <w:r>
            <w:rPr>
              <w:color w:val="auto"/>
              <w:highlight w:val="none"/>
            </w:rPr>
            <w:fldChar w:fldCharType="begin"/>
          </w:r>
          <w:r>
            <w:rPr>
              <w:color w:val="auto"/>
              <w:highlight w:val="none"/>
            </w:rPr>
            <w:instrText xml:space="preserve"> PAGEREF _Toc77513648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8"/>
            <w:tabs>
              <w:tab w:val="right" w:leader="dot" w:pos="9060"/>
            </w:tabs>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"_Toc77513649" </w:instrText>
          </w:r>
          <w:r>
            <w:rPr>
              <w:color w:val="auto"/>
              <w:highlight w:val="none"/>
            </w:rPr>
            <w:fldChar w:fldCharType="separate"/>
          </w:r>
          <w:r>
            <w:rPr>
              <w:rStyle w:val="47"/>
              <w:rFonts w:hint="eastAsia" w:ascii="黑体" w:hAnsi="黑体"/>
              <w:color w:val="auto"/>
              <w:highlight w:val="none"/>
            </w:rPr>
            <w:t>第三章</w:t>
          </w:r>
          <w:r>
            <w:rPr>
              <w:rStyle w:val="47"/>
              <w:rFonts w:ascii="黑体" w:hAnsi="黑体"/>
              <w:color w:val="auto"/>
              <w:highlight w:val="none"/>
            </w:rPr>
            <w:t xml:space="preserve">  </w:t>
          </w:r>
          <w:r>
            <w:rPr>
              <w:rStyle w:val="47"/>
              <w:rFonts w:hint="eastAsia" w:ascii="黑体" w:hAnsi="黑体"/>
              <w:color w:val="auto"/>
              <w:highlight w:val="none"/>
            </w:rPr>
            <w:t>采购内容及要求</w:t>
          </w:r>
          <w:r>
            <w:rPr>
              <w:color w:val="auto"/>
              <w:highlight w:val="none"/>
            </w:rPr>
            <w:tab/>
          </w:r>
          <w:r>
            <w:rPr>
              <w:color w:val="auto"/>
              <w:highlight w:val="none"/>
            </w:rPr>
            <w:fldChar w:fldCharType="begin"/>
          </w:r>
          <w:r>
            <w:rPr>
              <w:color w:val="auto"/>
              <w:highlight w:val="none"/>
            </w:rPr>
            <w:instrText xml:space="preserve"> PAGEREF _Toc77513649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34"/>
            <w:tabs>
              <w:tab w:val="right" w:leader="dot" w:pos="9060"/>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"_Toc77513650" </w:instrText>
          </w:r>
          <w:r>
            <w:rPr>
              <w:color w:val="auto"/>
              <w:highlight w:val="none"/>
            </w:rPr>
            <w:fldChar w:fldCharType="separate"/>
          </w:r>
          <w:r>
            <w:rPr>
              <w:rStyle w:val="47"/>
              <w:rFonts w:hint="eastAsia"/>
              <w:color w:val="auto"/>
              <w:kern w:val="0"/>
              <w:highlight w:val="none"/>
            </w:rPr>
            <w:t>一、项目概况</w:t>
          </w:r>
          <w:r>
            <w:rPr>
              <w:color w:val="auto"/>
              <w:highlight w:val="none"/>
            </w:rPr>
            <w:tab/>
          </w:r>
          <w:r>
            <w:rPr>
              <w:color w:val="auto"/>
              <w:highlight w:val="none"/>
            </w:rPr>
            <w:fldChar w:fldCharType="begin"/>
          </w:r>
          <w:r>
            <w:rPr>
              <w:color w:val="auto"/>
              <w:highlight w:val="none"/>
            </w:rPr>
            <w:instrText xml:space="preserve"> PAGEREF _Toc77513650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34"/>
            <w:tabs>
              <w:tab w:val="right" w:leader="dot" w:pos="9060"/>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"_Toc77513651" </w:instrText>
          </w:r>
          <w:r>
            <w:rPr>
              <w:color w:val="auto"/>
              <w:highlight w:val="none"/>
            </w:rPr>
            <w:fldChar w:fldCharType="separate"/>
          </w:r>
          <w:r>
            <w:rPr>
              <w:rStyle w:val="47"/>
              <w:rFonts w:hint="eastAsia"/>
              <w:color w:val="auto"/>
              <w:kern w:val="0"/>
              <w:highlight w:val="none"/>
            </w:rPr>
            <w:t>二、技术和服务要求</w:t>
          </w:r>
          <w:r>
            <w:rPr>
              <w:color w:val="auto"/>
              <w:highlight w:val="none"/>
            </w:rPr>
            <w:tab/>
          </w:r>
          <w:r>
            <w:rPr>
              <w:color w:val="auto"/>
              <w:highlight w:val="none"/>
            </w:rPr>
            <w:fldChar w:fldCharType="begin"/>
          </w:r>
          <w:r>
            <w:rPr>
              <w:color w:val="auto"/>
              <w:highlight w:val="none"/>
            </w:rPr>
            <w:instrText xml:space="preserve"> PAGEREF _Toc77513651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34"/>
            <w:tabs>
              <w:tab w:val="right" w:leader="dot" w:pos="9060"/>
            </w:tabs>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"_Toc77513652" </w:instrText>
          </w:r>
          <w:r>
            <w:rPr>
              <w:color w:val="auto"/>
              <w:highlight w:val="none"/>
            </w:rPr>
            <w:fldChar w:fldCharType="separate"/>
          </w:r>
          <w:r>
            <w:rPr>
              <w:rStyle w:val="47"/>
              <w:rFonts w:hint="eastAsia"/>
              <w:color w:val="auto"/>
              <w:kern w:val="0"/>
              <w:highlight w:val="none"/>
            </w:rPr>
            <w:t>三、商务条件</w:t>
          </w:r>
          <w:r>
            <w:rPr>
              <w:color w:val="auto"/>
              <w:highlight w:val="none"/>
            </w:rPr>
            <w:tab/>
          </w:r>
          <w:r>
            <w:rPr>
              <w:color w:val="auto"/>
              <w:highlight w:val="none"/>
            </w:rPr>
            <w:fldChar w:fldCharType="begin"/>
          </w:r>
          <w:r>
            <w:rPr>
              <w:color w:val="auto"/>
              <w:highlight w:val="none"/>
            </w:rPr>
            <w:instrText xml:space="preserve"> PAGEREF _Toc77513652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8"/>
            <w:tabs>
              <w:tab w:val="right" w:leader="dot" w:pos="9060"/>
            </w:tabs>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"_Toc77513653" </w:instrText>
          </w:r>
          <w:r>
            <w:rPr>
              <w:color w:val="auto"/>
              <w:highlight w:val="none"/>
            </w:rPr>
            <w:fldChar w:fldCharType="separate"/>
          </w:r>
          <w:r>
            <w:rPr>
              <w:rStyle w:val="47"/>
              <w:rFonts w:hint="eastAsia"/>
              <w:color w:val="auto"/>
              <w:highlight w:val="none"/>
            </w:rPr>
            <w:t>第四章</w:t>
          </w:r>
          <w:r>
            <w:rPr>
              <w:rStyle w:val="47"/>
              <w:color w:val="auto"/>
              <w:highlight w:val="none"/>
            </w:rPr>
            <w:t xml:space="preserve">  </w:t>
          </w:r>
          <w:r>
            <w:rPr>
              <w:rStyle w:val="47"/>
              <w:rFonts w:hint="eastAsia"/>
              <w:color w:val="auto"/>
              <w:highlight w:val="none"/>
            </w:rPr>
            <w:t>合同主要条款及格式</w:t>
          </w:r>
          <w:r>
            <w:rPr>
              <w:color w:val="auto"/>
              <w:highlight w:val="none"/>
            </w:rPr>
            <w:tab/>
          </w:r>
          <w:r>
            <w:rPr>
              <w:color w:val="auto"/>
              <w:highlight w:val="none"/>
            </w:rPr>
            <w:fldChar w:fldCharType="begin"/>
          </w:r>
          <w:r>
            <w:rPr>
              <w:color w:val="auto"/>
              <w:highlight w:val="none"/>
            </w:rPr>
            <w:instrText xml:space="preserve"> PAGEREF _Toc77513653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28"/>
            <w:tabs>
              <w:tab w:val="right" w:leader="dot" w:pos="9060"/>
            </w:tabs>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"_Toc77513654" </w:instrText>
          </w:r>
          <w:r>
            <w:rPr>
              <w:color w:val="auto"/>
              <w:highlight w:val="none"/>
            </w:rPr>
            <w:fldChar w:fldCharType="separate"/>
          </w:r>
          <w:r>
            <w:rPr>
              <w:rStyle w:val="47"/>
              <w:rFonts w:hint="eastAsia"/>
              <w:color w:val="auto"/>
              <w:highlight w:val="none"/>
            </w:rPr>
            <w:t>第五章</w:t>
          </w:r>
          <w:r>
            <w:rPr>
              <w:rStyle w:val="47"/>
              <w:color w:val="auto"/>
              <w:highlight w:val="none"/>
            </w:rPr>
            <w:t xml:space="preserve">  </w:t>
          </w:r>
          <w:r>
            <w:rPr>
              <w:rStyle w:val="47"/>
              <w:rFonts w:hint="eastAsia"/>
              <w:color w:val="auto"/>
              <w:highlight w:val="none"/>
            </w:rPr>
            <w:t>首次响应文件格式</w:t>
          </w:r>
          <w:r>
            <w:rPr>
              <w:color w:val="auto"/>
              <w:highlight w:val="none"/>
            </w:rPr>
            <w:tab/>
          </w:r>
          <w:r>
            <w:rPr>
              <w:color w:val="auto"/>
              <w:highlight w:val="none"/>
            </w:rPr>
            <w:fldChar w:fldCharType="begin"/>
          </w:r>
          <w:r>
            <w:rPr>
              <w:color w:val="auto"/>
              <w:highlight w:val="none"/>
            </w:rPr>
            <w:instrText xml:space="preserve"> PAGEREF _Toc77513654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rPr>
              <w:color w:val="auto"/>
              <w:highlight w:val="none"/>
            </w:rPr>
          </w:pPr>
          <w:r>
            <w:rPr>
              <w:color w:val="auto"/>
              <w:highlight w:val="none"/>
            </w:rPr>
            <w:fldChar w:fldCharType="end"/>
          </w:r>
        </w:p>
      </w:sdtContent>
    </w:sdt>
    <w:p>
      <w:pPr>
        <w:rPr>
          <w:color w:val="auto"/>
          <w:highlight w:val="none"/>
        </w:rPr>
      </w:pPr>
    </w:p>
    <w:p>
      <w:pPr>
        <w:rPr>
          <w:color w:val="auto"/>
          <w:highlight w:val="none"/>
        </w:rPr>
      </w:pPr>
    </w:p>
    <w:p>
      <w:pPr>
        <w:rPr>
          <w:color w:val="auto"/>
          <w:highlight w:val="none"/>
        </w:rPr>
        <w:sectPr>
          <w:pgSz w:w="11906" w:h="16838"/>
          <w:pgMar w:top="1418" w:right="1418" w:bottom="1418" w:left="1418" w:header="851" w:footer="992" w:gutter="0"/>
          <w:pgNumType w:fmt="decimal"/>
          <w:cols w:space="720" w:num="1"/>
          <w:titlePg/>
          <w:docGrid w:linePitch="312" w:charSpace="0"/>
        </w:sectPr>
      </w:pPr>
    </w:p>
    <w:p>
      <w:pPr>
        <w:pStyle w:val="2"/>
        <w:spacing w:before="240" w:after="240"/>
        <w:rPr>
          <w:color w:val="auto"/>
          <w:highlight w:val="none"/>
        </w:rPr>
      </w:pPr>
      <w:bookmarkStart w:id="0" w:name="_Toc77513635"/>
      <w:r>
        <w:rPr>
          <w:color w:val="auto"/>
          <w:highlight w:val="none"/>
        </w:rPr>
        <w:t>第一章</w:t>
      </w:r>
      <w:r>
        <w:rPr>
          <w:rFonts w:hint="eastAsia" w:ascii="宋体" w:hAnsi="宋体" w:eastAsia="宋体" w:cs="宋体"/>
          <w:color w:val="auto"/>
          <w:highlight w:val="none"/>
        </w:rPr>
        <w:t xml:space="preserve">  </w:t>
      </w:r>
      <w:r>
        <w:rPr>
          <w:rFonts w:hint="eastAsia"/>
          <w:color w:val="auto"/>
          <w:highlight w:val="none"/>
        </w:rPr>
        <w:t>采购邀请书</w:t>
      </w:r>
      <w:bookmarkEnd w:id="0"/>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pPr>
        <w:widowControl/>
        <w:spacing w:line="360" w:lineRule="auto"/>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b/>
          <w:color w:val="auto"/>
          <w:kern w:val="0"/>
          <w:sz w:val="24"/>
          <w:highlight w:val="none"/>
          <w:u w:val="none"/>
          <w:lang w:val="en-US" w:eastAsia="zh-CN"/>
        </w:rPr>
        <w:t xml:space="preserve">    </w:t>
      </w:r>
      <w:r>
        <w:rPr>
          <w:rFonts w:hint="eastAsia" w:cs="宋体" w:asciiTheme="minorEastAsia" w:hAnsiTheme="minorEastAsia" w:eastAsiaTheme="minorEastAsia"/>
          <w:b/>
          <w:color w:val="auto"/>
          <w:kern w:val="0"/>
          <w:sz w:val="24"/>
          <w:highlight w:val="none"/>
          <w:u w:val="single"/>
          <w:lang w:eastAsia="zh-CN"/>
        </w:rPr>
        <w:t>厦门市民政局</w:t>
      </w:r>
      <w:r>
        <w:rPr>
          <w:rFonts w:cs="宋体" w:asciiTheme="minorEastAsia" w:hAnsiTheme="minorEastAsia" w:eastAsiaTheme="minorEastAsia"/>
          <w:color w:val="auto"/>
          <w:kern w:val="0"/>
          <w:sz w:val="24"/>
          <w:highlight w:val="none"/>
        </w:rPr>
        <w:t>确定采用</w:t>
      </w:r>
      <w:r>
        <w:rPr>
          <w:rFonts w:hint="eastAsia" w:cs="宋体" w:asciiTheme="minorEastAsia" w:hAnsiTheme="minorEastAsia" w:eastAsiaTheme="minorEastAsia"/>
          <w:color w:val="auto"/>
          <w:kern w:val="0"/>
          <w:sz w:val="24"/>
          <w:highlight w:val="none"/>
          <w:u w:val="single"/>
        </w:rPr>
        <w:t xml:space="preserve">  </w:t>
      </w:r>
      <w:r>
        <w:rPr>
          <w:rFonts w:cs="宋体" w:asciiTheme="minorEastAsia" w:hAnsiTheme="minorEastAsia" w:eastAsiaTheme="minorEastAsia"/>
          <w:b/>
          <w:color w:val="auto"/>
          <w:kern w:val="0"/>
          <w:sz w:val="24"/>
          <w:highlight w:val="none"/>
          <w:u w:val="single"/>
        </w:rPr>
        <w:t>竞争性磋商</w:t>
      </w:r>
      <w:r>
        <w:rPr>
          <w:rFonts w:hint="eastAsia" w:cs="宋体" w:asciiTheme="minorEastAsia" w:hAnsiTheme="minorEastAsia" w:eastAsiaTheme="minorEastAsia"/>
          <w:color w:val="auto"/>
          <w:kern w:val="0"/>
          <w:sz w:val="24"/>
          <w:highlight w:val="none"/>
          <w:u w:val="single"/>
        </w:rPr>
        <w:t xml:space="preserve">  </w:t>
      </w:r>
      <w:r>
        <w:rPr>
          <w:rFonts w:cs="宋体" w:asciiTheme="minorEastAsia" w:hAnsiTheme="minorEastAsia" w:eastAsiaTheme="minorEastAsia"/>
          <w:color w:val="auto"/>
          <w:kern w:val="0"/>
          <w:sz w:val="24"/>
          <w:highlight w:val="none"/>
        </w:rPr>
        <w:t>方式组织</w:t>
      </w:r>
      <w:r>
        <w:rPr>
          <w:rFonts w:hint="eastAsia" w:cs="宋体" w:asciiTheme="minorEastAsia" w:hAnsiTheme="minorEastAsia" w:eastAsiaTheme="minorEastAsia"/>
          <w:b/>
          <w:color w:val="auto"/>
          <w:kern w:val="0"/>
          <w:sz w:val="24"/>
          <w:highlight w:val="none"/>
          <w:u w:val="single"/>
          <w:lang w:eastAsia="zh-CN"/>
        </w:rPr>
        <w:t>2025年度厦门市智慧民政一体化平台网络安全等级保护测评整改和商用密码应用改造</w:t>
      </w:r>
      <w:r>
        <w:rPr>
          <w:rFonts w:cs="宋体" w:asciiTheme="minorEastAsia" w:hAnsiTheme="minorEastAsia" w:eastAsiaTheme="minorEastAsia"/>
          <w:color w:val="auto"/>
          <w:kern w:val="0"/>
          <w:sz w:val="24"/>
          <w:highlight w:val="none"/>
        </w:rPr>
        <w:t>项目（以下简称：“本项目”）的采购活动，现欢迎供应商前来参加。本项目由采购人</w:t>
      </w:r>
      <w:r>
        <w:rPr>
          <w:rFonts w:hint="eastAsia" w:cs="宋体" w:asciiTheme="minorEastAsia" w:hAnsiTheme="minorEastAsia" w:eastAsiaTheme="minorEastAsia"/>
          <w:color w:val="auto"/>
          <w:kern w:val="0"/>
          <w:sz w:val="24"/>
          <w:highlight w:val="none"/>
        </w:rPr>
        <w:t>自行组织</w:t>
      </w:r>
      <w:r>
        <w:rPr>
          <w:rFonts w:cs="宋体" w:asciiTheme="minorEastAsia" w:hAnsiTheme="minorEastAsia" w:eastAsiaTheme="minorEastAsia"/>
          <w:color w:val="auto"/>
          <w:kern w:val="0"/>
          <w:sz w:val="24"/>
          <w:highlight w:val="none"/>
        </w:rPr>
        <w:t>开展竞争性磋商活动。</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项目名称：</w:t>
      </w:r>
      <w:r>
        <w:rPr>
          <w:rFonts w:hint="eastAsia" w:cs="宋体" w:asciiTheme="minorEastAsia" w:hAnsiTheme="minorEastAsia" w:eastAsiaTheme="minorEastAsia"/>
          <w:color w:val="auto"/>
          <w:kern w:val="0"/>
          <w:sz w:val="24"/>
          <w:highlight w:val="none"/>
          <w:lang w:val="en-US" w:eastAsia="zh-CN"/>
        </w:rPr>
        <w:t>2025年度厦门市智慧民政一体化平台网络安全等级保护测评整改和商用密码应用改造</w:t>
      </w:r>
      <w:r>
        <w:rPr>
          <w:rFonts w:hint="eastAsia" w:ascii="宋体" w:hAnsi="宋体" w:cs="宋体"/>
          <w:color w:val="auto"/>
          <w:kern w:val="0"/>
          <w:sz w:val="24"/>
          <w:highlight w:val="none"/>
        </w:rPr>
        <w:t>项目</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en-US" w:eastAsia="zh-CN"/>
        </w:rPr>
        <w:t>2</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采购内容及要求：</w:t>
      </w:r>
    </w:p>
    <w:p>
      <w:pPr>
        <w:widowControl/>
        <w:spacing w:after="100"/>
        <w:ind w:firstLine="6720" w:firstLineChars="2800"/>
        <w:jc w:val="both"/>
        <w:rPr>
          <w:rFonts w:ascii="宋体" w:hAnsi="宋体" w:cs="宋体"/>
          <w:color w:val="auto"/>
          <w:kern w:val="0"/>
          <w:sz w:val="24"/>
          <w:highlight w:val="none"/>
        </w:rPr>
      </w:pPr>
      <w:r>
        <w:rPr>
          <w:rFonts w:ascii="宋体" w:hAnsi="宋体" w:cs="宋体"/>
          <w:color w:val="auto"/>
          <w:kern w:val="0"/>
          <w:sz w:val="24"/>
          <w:highlight w:val="none"/>
        </w:rPr>
        <w:t>金额单位：人民币元</w:t>
      </w:r>
    </w:p>
    <w:tbl>
      <w:tblPr>
        <w:tblStyle w:val="40"/>
        <w:tblW w:w="4998"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16"/>
        <w:gridCol w:w="821"/>
        <w:gridCol w:w="4683"/>
        <w:gridCol w:w="966"/>
        <w:gridCol w:w="179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tblHeader/>
          <w:jc w:val="center"/>
        </w:trPr>
        <w:tc>
          <w:tcPr>
            <w:tcW w:w="449"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cs="宋体"/>
                <w:color w:val="auto"/>
                <w:kern w:val="0"/>
                <w:sz w:val="24"/>
                <w:highlight w:val="none"/>
              </w:rPr>
            </w:pPr>
            <w:r>
              <w:rPr>
                <w:rFonts w:ascii="宋体" w:hAnsi="宋体" w:cs="宋体"/>
                <w:color w:val="auto"/>
                <w:kern w:val="0"/>
                <w:sz w:val="24"/>
                <w:highlight w:val="none"/>
              </w:rPr>
              <w:t>合同包</w:t>
            </w:r>
          </w:p>
        </w:tc>
        <w:tc>
          <w:tcPr>
            <w:tcW w:w="452"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cs="宋体"/>
                <w:color w:val="auto"/>
                <w:kern w:val="0"/>
                <w:sz w:val="24"/>
                <w:highlight w:val="none"/>
              </w:rPr>
            </w:pPr>
            <w:r>
              <w:rPr>
                <w:rFonts w:ascii="宋体" w:hAnsi="宋体" w:cs="宋体"/>
                <w:color w:val="auto"/>
                <w:kern w:val="0"/>
                <w:sz w:val="24"/>
                <w:highlight w:val="none"/>
              </w:rPr>
              <w:t>品目号</w:t>
            </w:r>
          </w:p>
        </w:tc>
        <w:tc>
          <w:tcPr>
            <w:tcW w:w="2578"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cs="宋体"/>
                <w:color w:val="auto"/>
                <w:kern w:val="0"/>
                <w:sz w:val="24"/>
                <w:highlight w:val="none"/>
              </w:rPr>
            </w:pPr>
            <w:r>
              <w:rPr>
                <w:rFonts w:ascii="宋体" w:hAnsi="宋体" w:cs="宋体"/>
                <w:color w:val="auto"/>
                <w:kern w:val="0"/>
                <w:sz w:val="24"/>
                <w:highlight w:val="none"/>
              </w:rPr>
              <w:t>采购标的</w:t>
            </w:r>
          </w:p>
        </w:tc>
        <w:tc>
          <w:tcPr>
            <w:tcW w:w="531"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cs="宋体"/>
                <w:color w:val="auto"/>
                <w:kern w:val="0"/>
                <w:sz w:val="24"/>
                <w:highlight w:val="none"/>
              </w:rPr>
            </w:pPr>
            <w:r>
              <w:rPr>
                <w:rFonts w:ascii="宋体" w:hAnsi="宋体" w:cs="宋体"/>
                <w:color w:val="auto"/>
                <w:kern w:val="0"/>
                <w:sz w:val="24"/>
                <w:highlight w:val="none"/>
              </w:rPr>
              <w:t>数量</w:t>
            </w:r>
          </w:p>
        </w:tc>
        <w:tc>
          <w:tcPr>
            <w:tcW w:w="988"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cs="宋体"/>
                <w:color w:val="auto"/>
                <w:kern w:val="0"/>
                <w:sz w:val="24"/>
                <w:highlight w:val="none"/>
              </w:rPr>
            </w:pPr>
            <w:r>
              <w:rPr>
                <w:rFonts w:ascii="宋体" w:hAnsi="宋体" w:cs="宋体"/>
                <w:color w:val="auto"/>
                <w:kern w:val="0"/>
                <w:sz w:val="24"/>
                <w:highlight w:val="none"/>
              </w:rPr>
              <w:t>合同包预算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449"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452"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2578"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2025年度厦门市智慧民政一体化平台</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pPr>
            <w:r>
              <w:rPr>
                <w:rFonts w:hint="eastAsia" w:ascii="宋体" w:hAnsi="宋体" w:cs="宋体"/>
                <w:color w:val="auto"/>
                <w:kern w:val="0"/>
                <w:sz w:val="24"/>
                <w:highlight w:val="none"/>
              </w:rPr>
              <w:t>网络安全等级保护测评整改</w:t>
            </w:r>
            <w:r>
              <w:rPr>
                <w:rFonts w:hint="eastAsia" w:cs="宋体" w:asciiTheme="minorEastAsia" w:hAnsiTheme="minorEastAsia" w:eastAsiaTheme="minorEastAsia"/>
                <w:color w:val="auto"/>
                <w:kern w:val="0"/>
                <w:sz w:val="24"/>
                <w:highlight w:val="none"/>
                <w:lang w:val="en-US" w:eastAsia="zh-CN"/>
              </w:rPr>
              <w:t>和商用密码应用改造</w:t>
            </w:r>
            <w:r>
              <w:rPr>
                <w:rFonts w:hint="eastAsia" w:ascii="宋体" w:hAnsi="宋体" w:cs="宋体"/>
                <w:color w:val="auto"/>
                <w:kern w:val="0"/>
                <w:sz w:val="24"/>
                <w:highlight w:val="none"/>
              </w:rPr>
              <w:t>项目</w:t>
            </w:r>
          </w:p>
        </w:tc>
        <w:tc>
          <w:tcPr>
            <w:tcW w:w="531"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一项</w:t>
            </w:r>
          </w:p>
        </w:tc>
        <w:tc>
          <w:tcPr>
            <w:tcW w:w="988"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cs="宋体" w:eastAsiaTheme="minorEastAsia"/>
                <w:color w:val="auto"/>
                <w:kern w:val="0"/>
                <w:sz w:val="24"/>
                <w:highlight w:val="none"/>
                <w:lang w:val="en-US" w:eastAsia="zh-CN"/>
              </w:rPr>
            </w:pPr>
            <w:r>
              <w:rPr>
                <w:rFonts w:hint="eastAsia" w:ascii="宋体" w:hAnsi="宋体" w:cs="宋体" w:eastAsiaTheme="minorEastAsia"/>
                <w:color w:val="auto"/>
                <w:kern w:val="0"/>
                <w:sz w:val="24"/>
                <w:highlight w:val="none"/>
                <w:lang w:val="en-US" w:eastAsia="zh-CN"/>
              </w:rPr>
              <w:t>208000</w:t>
            </w:r>
          </w:p>
        </w:tc>
      </w:tr>
    </w:tbl>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rPr>
      </w:pP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en-US" w:eastAsia="zh-CN"/>
        </w:rPr>
        <w:t>3</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供应商的资格要求：详见后附表</w:t>
      </w:r>
      <w:r>
        <w:rPr>
          <w:rFonts w:hint="eastAsia"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en-US" w:eastAsia="zh-CN"/>
        </w:rPr>
        <w:t>4</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获取采购文件时间、地点、方式：</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en-US" w:eastAsia="zh-CN"/>
        </w:rPr>
        <w:t>4</w:t>
      </w:r>
      <w:r>
        <w:rPr>
          <w:rFonts w:cs="宋体" w:asciiTheme="minorEastAsia" w:hAnsiTheme="minorEastAsia" w:eastAsiaTheme="minorEastAsia"/>
          <w:color w:val="auto"/>
          <w:kern w:val="0"/>
          <w:sz w:val="24"/>
          <w:highlight w:val="none"/>
        </w:rPr>
        <w:t>.1采购文件的提供期限：详见磋商公告或更正公告，若不一致，以更正公告为准</w:t>
      </w:r>
      <w:r>
        <w:rPr>
          <w:rFonts w:hint="eastAsia" w:cs="宋体" w:asciiTheme="minorEastAsia" w:hAnsiTheme="minorEastAsia" w:eastAsiaTheme="minorEastAsia"/>
          <w:color w:val="auto"/>
          <w:kern w:val="0"/>
          <w:sz w:val="24"/>
          <w:highlight w:val="none"/>
        </w:rPr>
        <w:t>（下同）</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en-US" w:eastAsia="zh-CN"/>
        </w:rPr>
        <w:t>4</w:t>
      </w:r>
      <w:r>
        <w:rPr>
          <w:rFonts w:cs="宋体" w:asciiTheme="minorEastAsia" w:hAnsiTheme="minorEastAsia" w:eastAsiaTheme="minorEastAsia"/>
          <w:color w:val="auto"/>
          <w:kern w:val="0"/>
          <w:sz w:val="24"/>
          <w:highlight w:val="none"/>
        </w:rPr>
        <w:t>.2获取地点及方式：</w:t>
      </w:r>
      <w:r>
        <w:rPr>
          <w:rFonts w:hint="eastAsia" w:cs="宋体" w:asciiTheme="minorEastAsia" w:hAnsiTheme="minorEastAsia" w:eastAsiaTheme="minorEastAsia"/>
          <w:color w:val="auto"/>
          <w:kern w:val="0"/>
          <w:sz w:val="24"/>
          <w:highlight w:val="none"/>
        </w:rPr>
        <w:t>详见磋商公告或更正公告</w:t>
      </w:r>
      <w:r>
        <w:rPr>
          <w:rFonts w:cs="宋体" w:asciiTheme="minorEastAsia" w:hAnsiTheme="minorEastAsia" w:eastAsiaTheme="minorEastAsia"/>
          <w:color w:val="auto"/>
          <w:kern w:val="0"/>
          <w:sz w:val="24"/>
          <w:highlight w:val="none"/>
        </w:rPr>
        <w:t>。未获取采购文件的，响应将被拒绝。</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en-US" w:eastAsia="zh-CN"/>
        </w:rPr>
        <w:t>5</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首次响应文件递交截止时间及地点：详见磋商公告或更正公告。供应商应在此之前将密封的首次响应文件送达</w:t>
      </w:r>
      <w:r>
        <w:rPr>
          <w:rFonts w:hint="eastAsia" w:cs="宋体" w:asciiTheme="minorEastAsia" w:hAnsiTheme="minorEastAsia" w:eastAsiaTheme="minorEastAsia"/>
          <w:color w:val="auto"/>
          <w:kern w:val="0"/>
          <w:sz w:val="24"/>
          <w:highlight w:val="none"/>
          <w:lang w:eastAsia="zh-CN"/>
        </w:rPr>
        <w:t>厦门市民政局</w:t>
      </w:r>
      <w:r>
        <w:rPr>
          <w:rFonts w:hint="eastAsia" w:cs="宋体" w:asciiTheme="minorEastAsia" w:hAnsiTheme="minorEastAsia" w:eastAsiaTheme="minorEastAsia"/>
          <w:color w:val="auto"/>
          <w:kern w:val="0"/>
          <w:sz w:val="24"/>
          <w:highlight w:val="none"/>
        </w:rPr>
        <w:t>行政楼</w:t>
      </w:r>
      <w:r>
        <w:rPr>
          <w:rFonts w:hint="eastAsia" w:cs="宋体" w:asciiTheme="minorEastAsia" w:hAnsiTheme="minorEastAsia" w:eastAsiaTheme="minorEastAsia"/>
          <w:color w:val="auto"/>
          <w:kern w:val="0"/>
          <w:sz w:val="24"/>
          <w:highlight w:val="none"/>
          <w:lang w:val="en-US" w:eastAsia="zh-CN"/>
        </w:rPr>
        <w:t>4</w:t>
      </w:r>
      <w:r>
        <w:rPr>
          <w:rFonts w:hint="eastAsia" w:cs="宋体" w:asciiTheme="minorEastAsia" w:hAnsiTheme="minorEastAsia" w:eastAsiaTheme="minorEastAsia"/>
          <w:color w:val="auto"/>
          <w:kern w:val="0"/>
          <w:sz w:val="24"/>
          <w:highlight w:val="none"/>
        </w:rPr>
        <w:t>07室</w:t>
      </w:r>
      <w:r>
        <w:rPr>
          <w:rFonts w:cs="宋体" w:asciiTheme="minorEastAsia" w:hAnsiTheme="minorEastAsia" w:eastAsiaTheme="minorEastAsia"/>
          <w:color w:val="auto"/>
          <w:kern w:val="0"/>
          <w:sz w:val="24"/>
          <w:highlight w:val="none"/>
        </w:rPr>
        <w:t>，逾期送达的或不符合规定的响应文件将被拒绝接收。</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en-US" w:eastAsia="zh-CN"/>
        </w:rPr>
        <w:t>6</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磋商时间及地点：详见磋商公告或更正公告。</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lang w:val="en-US" w:eastAsia="zh-CN"/>
        </w:rPr>
        <w:t>7</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采购人：</w:t>
      </w:r>
      <w:r>
        <w:rPr>
          <w:rFonts w:hint="eastAsia" w:cs="宋体" w:asciiTheme="minorEastAsia" w:hAnsiTheme="minorEastAsia" w:eastAsiaTheme="minorEastAsia"/>
          <w:color w:val="auto"/>
          <w:kern w:val="0"/>
          <w:sz w:val="24"/>
          <w:highlight w:val="none"/>
          <w:lang w:eastAsia="zh-CN"/>
        </w:rPr>
        <w:t>厦门市民政局</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地址：厦门市思明区湖滨北路67</w:t>
      </w:r>
      <w:r>
        <w:rPr>
          <w:rFonts w:hint="eastAsia" w:cs="宋体" w:asciiTheme="minorEastAsia" w:hAnsiTheme="minorEastAsia" w:eastAsiaTheme="minorEastAsia"/>
          <w:color w:val="auto"/>
          <w:kern w:val="0"/>
          <w:sz w:val="24"/>
          <w:highlight w:val="none"/>
          <w:lang w:val="en-US" w:eastAsia="zh-CN"/>
        </w:rPr>
        <w:t>-1</w:t>
      </w:r>
      <w:r>
        <w:rPr>
          <w:rFonts w:hint="eastAsia" w:cs="宋体" w:asciiTheme="minorEastAsia" w:hAnsiTheme="minorEastAsia" w:eastAsiaTheme="minorEastAsia"/>
          <w:color w:val="auto"/>
          <w:kern w:val="0"/>
          <w:sz w:val="24"/>
          <w:highlight w:val="none"/>
        </w:rPr>
        <w:t>号</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 xml:space="preserve">联系人：吴先生  </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rPr>
        <w:t>联系方法：0592-2892051</w:t>
      </w:r>
      <w:r>
        <w:rPr>
          <w:rFonts w:hint="eastAsia" w:cs="宋体" w:asciiTheme="minorEastAsia" w:hAnsiTheme="minorEastAsia" w:eastAsiaTheme="minorEastAsia"/>
          <w:color w:val="auto"/>
          <w:kern w:val="0"/>
          <w:sz w:val="24"/>
          <w:highlight w:val="none"/>
          <w:lang w:eastAsia="zh-CN"/>
        </w:rPr>
        <w:t>　　</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eastAsia="zh-CN"/>
        </w:rPr>
      </w:pP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eastAsia="zh-CN"/>
        </w:rPr>
      </w:pP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eastAsia="zh-CN"/>
        </w:rPr>
      </w:pPr>
    </w:p>
    <w:p>
      <w:pPr>
        <w:widowControl/>
        <w:spacing w:line="360" w:lineRule="auto"/>
        <w:rPr>
          <w:rFonts w:cs="宋体" w:asciiTheme="minorEastAsia" w:hAnsiTheme="minorEastAsia" w:eastAsiaTheme="minorEastAsia"/>
          <w:b/>
          <w:color w:val="auto"/>
          <w:kern w:val="0"/>
          <w:sz w:val="28"/>
          <w:highlight w:val="none"/>
        </w:rPr>
      </w:pPr>
      <w:r>
        <w:rPr>
          <w:rFonts w:hint="eastAsia" w:cs="宋体" w:asciiTheme="minorEastAsia" w:hAnsiTheme="minorEastAsia" w:eastAsiaTheme="minorEastAsia"/>
          <w:b/>
          <w:color w:val="auto"/>
          <w:kern w:val="0"/>
          <w:sz w:val="28"/>
          <w:highlight w:val="none"/>
        </w:rPr>
        <w:t>附表：</w:t>
      </w:r>
    </w:p>
    <w:p>
      <w:pPr>
        <w:widowControl/>
        <w:spacing w:line="360" w:lineRule="auto"/>
        <w:jc w:val="center"/>
        <w:rPr>
          <w:rFonts w:cs="宋体" w:asciiTheme="minorEastAsia" w:hAnsiTheme="minorEastAsia" w:eastAsiaTheme="minorEastAsia"/>
          <w:b/>
          <w:bCs/>
          <w:color w:val="auto"/>
          <w:kern w:val="0"/>
          <w:sz w:val="28"/>
          <w:highlight w:val="none"/>
        </w:rPr>
      </w:pPr>
      <w:r>
        <w:rPr>
          <w:rFonts w:cs="宋体" w:asciiTheme="minorEastAsia" w:hAnsiTheme="minorEastAsia" w:eastAsiaTheme="minorEastAsia"/>
          <w:b/>
          <w:color w:val="auto"/>
          <w:kern w:val="0"/>
          <w:sz w:val="28"/>
          <w:highlight w:val="none"/>
        </w:rPr>
        <w:t>供应商的资格要求</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cs="宋体" w:asciiTheme="minorEastAsia" w:hAnsiTheme="minorEastAsia" w:eastAsiaTheme="minorEastAsia"/>
          <w:color w:val="auto"/>
          <w:kern w:val="0"/>
          <w:sz w:val="24"/>
          <w:highlight w:val="none"/>
        </w:rPr>
        <w:t>一般资格证明文件</w:t>
      </w:r>
      <w:r>
        <w:rPr>
          <w:rFonts w:hint="eastAsia" w:cs="宋体" w:asciiTheme="minorEastAsia" w:hAnsiTheme="minorEastAsia" w:eastAsiaTheme="minorEastAsia"/>
          <w:color w:val="auto"/>
          <w:kern w:val="0"/>
          <w:sz w:val="24"/>
          <w:highlight w:val="none"/>
        </w:rPr>
        <w:t>（所有合同包的供应商均需满足</w:t>
      </w:r>
      <w:r>
        <w:rPr>
          <w:rFonts w:cs="宋体" w:asciiTheme="minorEastAsia" w:hAnsiTheme="minorEastAsia" w:eastAsiaTheme="minorEastAsia"/>
          <w:color w:val="auto"/>
          <w:kern w:val="0"/>
          <w:sz w:val="24"/>
          <w:highlight w:val="none"/>
        </w:rPr>
        <w:t>一般资格要求</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pPr>
              <w:spacing w:line="360" w:lineRule="auto"/>
              <w:jc w:val="center"/>
              <w:rPr>
                <w:rFonts w:ascii="宋体" w:hAnsi="宋体" w:cs="宋体"/>
                <w:b/>
                <w:bCs/>
                <w:color w:val="auto"/>
                <w:kern w:val="0"/>
                <w:sz w:val="24"/>
                <w:highlight w:val="none"/>
              </w:rPr>
            </w:pPr>
            <w:r>
              <w:rPr>
                <w:rFonts w:ascii="宋体" w:hAnsi="宋体" w:cs="宋体"/>
                <w:b/>
                <w:bCs/>
                <w:color w:val="auto"/>
                <w:kern w:val="0"/>
                <w:sz w:val="24"/>
                <w:highlight w:val="none"/>
              </w:rPr>
              <w:t>明细</w:t>
            </w:r>
          </w:p>
        </w:tc>
        <w:tc>
          <w:tcPr>
            <w:tcW w:w="4026" w:type="pct"/>
            <w:vAlign w:val="center"/>
          </w:tcPr>
          <w:p>
            <w:pPr>
              <w:spacing w:line="360" w:lineRule="auto"/>
              <w:jc w:val="center"/>
              <w:rPr>
                <w:rFonts w:ascii="宋体" w:hAnsi="宋体" w:cs="宋体"/>
                <w:b/>
                <w:bCs/>
                <w:color w:val="auto"/>
                <w:kern w:val="0"/>
                <w:sz w:val="24"/>
                <w:highlight w:val="none"/>
              </w:rPr>
            </w:pPr>
            <w:r>
              <w:rPr>
                <w:rFonts w:ascii="宋体" w:hAnsi="宋体" w:cs="宋体"/>
                <w:b/>
                <w:bCs/>
                <w:color w:val="auto"/>
                <w:kern w:val="0"/>
                <w:sz w:val="24"/>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pPr>
              <w:spacing w:line="360" w:lineRule="auto"/>
              <w:jc w:val="center"/>
              <w:rPr>
                <w:rFonts w:ascii="宋体" w:hAnsi="宋体" w:cs="宋体"/>
                <w:color w:val="auto"/>
                <w:kern w:val="0"/>
                <w:sz w:val="24"/>
                <w:highlight w:val="none"/>
              </w:rPr>
            </w:pPr>
            <w:r>
              <w:rPr>
                <w:rFonts w:ascii="宋体" w:hAnsi="宋体" w:cs="宋体"/>
                <w:color w:val="auto"/>
                <w:kern w:val="0"/>
                <w:sz w:val="24"/>
                <w:highlight w:val="none"/>
              </w:rPr>
              <w:t>营业执照等证明文件</w:t>
            </w:r>
          </w:p>
        </w:tc>
        <w:tc>
          <w:tcPr>
            <w:tcW w:w="4026" w:type="pct"/>
            <w:vAlign w:val="center"/>
          </w:tcPr>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供应商应具有独立承担民事责任的能力，并提供</w:t>
            </w:r>
            <w:r>
              <w:rPr>
                <w:rFonts w:ascii="宋体" w:hAnsi="宋体" w:cs="宋体"/>
                <w:color w:val="auto"/>
                <w:kern w:val="0"/>
                <w:sz w:val="24"/>
                <w:highlight w:val="none"/>
              </w:rPr>
              <w:t>营业执照等证明文件的复印件</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pPr>
              <w:spacing w:line="360" w:lineRule="auto"/>
              <w:jc w:val="center"/>
              <w:rPr>
                <w:rFonts w:asciiTheme="minorEastAsia" w:hAnsiTheme="minorEastAsia"/>
                <w:color w:val="auto"/>
                <w:kern w:val="0"/>
                <w:sz w:val="24"/>
                <w:highlight w:val="none"/>
              </w:rPr>
            </w:pPr>
            <w:r>
              <w:rPr>
                <w:rFonts w:asciiTheme="minorEastAsia" w:hAnsiTheme="minorEastAsia"/>
                <w:color w:val="auto"/>
                <w:kern w:val="0"/>
                <w:sz w:val="24"/>
                <w:highlight w:val="none"/>
              </w:rPr>
              <w:t>单位负责人证明或授权书</w:t>
            </w:r>
          </w:p>
        </w:tc>
        <w:tc>
          <w:tcPr>
            <w:tcW w:w="4026" w:type="pct"/>
            <w:vAlign w:val="center"/>
          </w:tcPr>
          <w:p>
            <w:pPr>
              <w:spacing w:line="360" w:lineRule="auto"/>
              <w:rPr>
                <w:rFonts w:asciiTheme="minorEastAsia" w:hAnsiTheme="minorEastAsia"/>
                <w:color w:val="auto"/>
                <w:kern w:val="0"/>
                <w:sz w:val="24"/>
                <w:highlight w:val="none"/>
              </w:rPr>
            </w:pPr>
            <w:r>
              <w:rPr>
                <w:rFonts w:asciiTheme="minorEastAsia" w:hAnsiTheme="minorEastAsia"/>
                <w:color w:val="auto"/>
                <w:kern w:val="0"/>
                <w:sz w:val="24"/>
                <w:highlight w:val="none"/>
              </w:rPr>
              <w:t>（</w:t>
            </w:r>
            <w:r>
              <w:rPr>
                <w:rFonts w:hint="eastAsia" w:asciiTheme="minorEastAsia" w:hAnsiTheme="minorEastAsia"/>
                <w:color w:val="auto"/>
                <w:kern w:val="0"/>
                <w:sz w:val="24"/>
                <w:highlight w:val="none"/>
              </w:rPr>
              <w:t>1</w:t>
            </w:r>
            <w:r>
              <w:rPr>
                <w:rFonts w:asciiTheme="minorEastAsia" w:hAnsiTheme="minorEastAsia"/>
                <w:color w:val="auto"/>
                <w:kern w:val="0"/>
                <w:sz w:val="24"/>
                <w:highlight w:val="none"/>
              </w:rPr>
              <w:t>）若</w:t>
            </w:r>
            <w:r>
              <w:rPr>
                <w:rFonts w:hint="eastAsia" w:asciiTheme="minorEastAsia" w:hAnsiTheme="minorEastAsia"/>
                <w:color w:val="auto"/>
                <w:kern w:val="0"/>
                <w:sz w:val="24"/>
                <w:highlight w:val="none"/>
              </w:rPr>
              <w:t>供应商</w:t>
            </w:r>
            <w:r>
              <w:rPr>
                <w:rFonts w:asciiTheme="minorEastAsia" w:hAnsiTheme="minorEastAsia"/>
                <w:color w:val="auto"/>
                <w:kern w:val="0"/>
                <w:sz w:val="24"/>
                <w:highlight w:val="none"/>
              </w:rPr>
              <w:t>代表为单位负责人，无需提供授权书</w:t>
            </w:r>
            <w:r>
              <w:rPr>
                <w:rFonts w:hint="eastAsia" w:asciiTheme="minorEastAsia" w:hAnsiTheme="minorEastAsia"/>
                <w:color w:val="auto"/>
                <w:kern w:val="0"/>
                <w:sz w:val="24"/>
                <w:highlight w:val="none"/>
              </w:rPr>
              <w:t>，</w:t>
            </w:r>
            <w:r>
              <w:rPr>
                <w:rFonts w:asciiTheme="minorEastAsia" w:hAnsiTheme="minorEastAsia"/>
                <w:color w:val="auto"/>
                <w:kern w:val="0"/>
                <w:sz w:val="24"/>
                <w:highlight w:val="none"/>
              </w:rPr>
              <w:t>但应提供单位负责人身份证复印件。</w:t>
            </w:r>
          </w:p>
          <w:p>
            <w:pPr>
              <w:spacing w:line="360" w:lineRule="auto"/>
              <w:rPr>
                <w:rFonts w:asciiTheme="minorEastAsia" w:hAnsiTheme="minorEastAsia"/>
                <w:color w:val="auto"/>
                <w:kern w:val="0"/>
                <w:sz w:val="24"/>
                <w:highlight w:val="none"/>
              </w:rPr>
            </w:pPr>
            <w:r>
              <w:rPr>
                <w:rFonts w:asciiTheme="minorEastAsia" w:hAnsiTheme="minorEastAsia"/>
                <w:color w:val="auto"/>
                <w:kern w:val="0"/>
                <w:sz w:val="24"/>
                <w:highlight w:val="none"/>
              </w:rPr>
              <w:t>（</w:t>
            </w:r>
            <w:r>
              <w:rPr>
                <w:rFonts w:hint="eastAsia" w:asciiTheme="minorEastAsia" w:hAnsiTheme="minorEastAsia"/>
                <w:color w:val="auto"/>
                <w:kern w:val="0"/>
                <w:sz w:val="24"/>
                <w:highlight w:val="none"/>
              </w:rPr>
              <w:t>2</w:t>
            </w:r>
            <w:r>
              <w:rPr>
                <w:rFonts w:asciiTheme="minorEastAsia" w:hAnsiTheme="minorEastAsia"/>
                <w:color w:val="auto"/>
                <w:kern w:val="0"/>
                <w:sz w:val="24"/>
                <w:highlight w:val="none"/>
              </w:rPr>
              <w:t>）若</w:t>
            </w:r>
            <w:r>
              <w:rPr>
                <w:rFonts w:hint="eastAsia" w:asciiTheme="minorEastAsia" w:hAnsiTheme="minorEastAsia"/>
                <w:color w:val="auto"/>
                <w:kern w:val="0"/>
                <w:sz w:val="24"/>
                <w:highlight w:val="none"/>
              </w:rPr>
              <w:t>供应商</w:t>
            </w:r>
            <w:r>
              <w:rPr>
                <w:rFonts w:asciiTheme="minorEastAsia" w:hAnsiTheme="minorEastAsia"/>
                <w:color w:val="auto"/>
                <w:kern w:val="0"/>
                <w:sz w:val="24"/>
                <w:highlight w:val="none"/>
              </w:rPr>
              <w:t>代表为单位负责人授权的委托代理人，应提供授权书及</w:t>
            </w:r>
            <w:r>
              <w:rPr>
                <w:rFonts w:hint="eastAsia" w:asciiTheme="minorEastAsia" w:hAnsiTheme="minorEastAsia"/>
                <w:color w:val="auto"/>
                <w:kern w:val="0"/>
                <w:sz w:val="24"/>
                <w:highlight w:val="none"/>
              </w:rPr>
              <w:t>供应商</w:t>
            </w:r>
            <w:r>
              <w:rPr>
                <w:rFonts w:asciiTheme="minorEastAsia" w:hAnsiTheme="minorEastAsia"/>
                <w:color w:val="auto"/>
                <w:kern w:val="0"/>
                <w:sz w:val="24"/>
                <w:highlight w:val="none"/>
              </w:rPr>
              <w:t>代表身份证复印件</w:t>
            </w:r>
            <w:r>
              <w:rPr>
                <w:rFonts w:hint="eastAsia" w:asciiTheme="minorEastAsia" w:hAnsiTheme="minorEastAsia"/>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4" w:type="pct"/>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资格承诺函</w:t>
            </w:r>
          </w:p>
        </w:tc>
        <w:tc>
          <w:tcPr>
            <w:tcW w:w="4026" w:type="pct"/>
            <w:vAlign w:val="center"/>
          </w:tcPr>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供应商</w:t>
            </w:r>
            <w:r>
              <w:rPr>
                <w:rFonts w:ascii="宋体" w:hAnsi="宋体" w:cs="宋体"/>
                <w:color w:val="auto"/>
                <w:kern w:val="0"/>
                <w:sz w:val="24"/>
                <w:highlight w:val="none"/>
              </w:rPr>
              <w:t>应提供《</w:t>
            </w:r>
            <w:r>
              <w:rPr>
                <w:rFonts w:hint="eastAsia" w:ascii="宋体" w:hAnsi="宋体" w:cs="宋体"/>
                <w:color w:val="auto"/>
                <w:kern w:val="0"/>
                <w:sz w:val="24"/>
                <w:highlight w:val="none"/>
              </w:rPr>
              <w:t>资格承诺函》。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信用记录要求</w:t>
            </w:r>
          </w:p>
        </w:tc>
        <w:tc>
          <w:tcPr>
            <w:tcW w:w="4026" w:type="pct"/>
            <w:vAlign w:val="center"/>
          </w:tcPr>
          <w:p>
            <w:pPr>
              <w:spacing w:line="360" w:lineRule="auto"/>
              <w:jc w:val="both"/>
              <w:rPr>
                <w:rFonts w:ascii="宋体" w:hAnsi="宋体" w:cs="宋体"/>
                <w:color w:val="auto"/>
                <w:kern w:val="0"/>
                <w:sz w:val="24"/>
                <w:highlight w:val="none"/>
              </w:rPr>
            </w:pPr>
            <w:r>
              <w:rPr>
                <w:rFonts w:hint="eastAsia" w:ascii="宋体" w:hAnsi="宋体" w:cs="宋体"/>
                <w:color w:val="auto"/>
                <w:kern w:val="0"/>
                <w:sz w:val="24"/>
                <w:highlight w:val="none"/>
              </w:rPr>
              <w:t>1、信用信息查询渠道：通过“信用中国”网站（www.creditchina.gov.cn）、中国政府采购网（www.ccgp.gov.cn）、“信用厦门”网站（credit.xm.gov.cn）查询所有供应商的信用信息。</w:t>
            </w:r>
          </w:p>
          <w:p>
            <w:pPr>
              <w:spacing w:line="360" w:lineRule="auto"/>
              <w:jc w:val="both"/>
              <w:rPr>
                <w:rFonts w:ascii="宋体" w:hAnsi="宋体" w:cs="宋体"/>
                <w:color w:val="auto"/>
                <w:kern w:val="0"/>
                <w:sz w:val="24"/>
                <w:highlight w:val="none"/>
              </w:rPr>
            </w:pPr>
            <w:r>
              <w:rPr>
                <w:rFonts w:hint="eastAsia" w:ascii="宋体" w:hAnsi="宋体" w:cs="宋体"/>
                <w:color w:val="auto"/>
                <w:kern w:val="0"/>
                <w:sz w:val="24"/>
                <w:highlight w:val="none"/>
              </w:rPr>
              <w:t>2、截止时点：查询供应商响应文件递交</w:t>
            </w:r>
            <w:r>
              <w:rPr>
                <w:rFonts w:hint="eastAsia" w:ascii="宋体" w:hAnsi="宋体" w:cs="宋体"/>
                <w:color w:val="auto"/>
                <w:kern w:val="0"/>
                <w:sz w:val="24"/>
                <w:highlight w:val="none"/>
                <w:lang w:eastAsia="zh-CN"/>
              </w:rPr>
              <w:t>截至当天</w:t>
            </w:r>
            <w:r>
              <w:rPr>
                <w:rFonts w:hint="eastAsia" w:ascii="宋体" w:hAnsi="宋体" w:cs="宋体"/>
                <w:color w:val="auto"/>
                <w:kern w:val="0"/>
                <w:sz w:val="24"/>
                <w:highlight w:val="none"/>
              </w:rPr>
              <w:t>前三年内的信用信息。</w:t>
            </w:r>
          </w:p>
          <w:p>
            <w:pPr>
              <w:spacing w:line="360" w:lineRule="auto"/>
              <w:jc w:val="both"/>
              <w:rPr>
                <w:rFonts w:ascii="宋体" w:hAnsi="宋体" w:cs="宋体"/>
                <w:color w:val="auto"/>
                <w:kern w:val="0"/>
                <w:sz w:val="24"/>
                <w:highlight w:val="none"/>
              </w:rPr>
            </w:pPr>
            <w:r>
              <w:rPr>
                <w:rFonts w:hint="eastAsia" w:ascii="宋体" w:hAnsi="宋体" w:cs="宋体"/>
                <w:color w:val="auto"/>
                <w:kern w:val="0"/>
                <w:sz w:val="24"/>
                <w:highlight w:val="none"/>
              </w:rPr>
              <w:t>3、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4、供应商无需提供信用信息查询结果。若供应商自行提供查询结果的，仍以评审当天查询结果为准。</w:t>
            </w:r>
          </w:p>
        </w:tc>
      </w:tr>
    </w:tbl>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cs="宋体" w:asciiTheme="minorEastAsia" w:hAnsiTheme="minorEastAsia" w:eastAsiaTheme="minorEastAsia"/>
          <w:color w:val="auto"/>
          <w:kern w:val="0"/>
          <w:sz w:val="24"/>
          <w:highlight w:val="none"/>
        </w:rPr>
        <w:t>其他资格证明文件：</w:t>
      </w:r>
    </w:p>
    <w:p>
      <w:pPr>
        <w:widowControl/>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包：1</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3"/>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pPr>
              <w:widowControl/>
              <w:spacing w:line="360" w:lineRule="auto"/>
              <w:jc w:val="center"/>
              <w:rPr>
                <w:rFonts w:ascii="宋体" w:hAnsi="宋体" w:cs="宋体"/>
                <w:b/>
                <w:bCs/>
                <w:color w:val="auto"/>
                <w:kern w:val="0"/>
                <w:sz w:val="24"/>
                <w:highlight w:val="none"/>
              </w:rPr>
            </w:pPr>
            <w:r>
              <w:rPr>
                <w:rFonts w:ascii="宋体" w:hAnsi="宋体" w:cs="宋体"/>
                <w:b/>
                <w:bCs/>
                <w:color w:val="auto"/>
                <w:kern w:val="0"/>
                <w:sz w:val="24"/>
                <w:highlight w:val="none"/>
              </w:rPr>
              <w:t>明细</w:t>
            </w:r>
          </w:p>
        </w:tc>
        <w:tc>
          <w:tcPr>
            <w:tcW w:w="3490" w:type="pct"/>
            <w:vAlign w:val="center"/>
          </w:tcPr>
          <w:p>
            <w:pPr>
              <w:widowControl/>
              <w:spacing w:line="360" w:lineRule="auto"/>
              <w:jc w:val="center"/>
              <w:rPr>
                <w:rFonts w:ascii="宋体" w:hAnsi="宋体" w:cs="宋体"/>
                <w:b/>
                <w:bCs/>
                <w:color w:val="auto"/>
                <w:kern w:val="0"/>
                <w:sz w:val="24"/>
                <w:highlight w:val="none"/>
              </w:rPr>
            </w:pPr>
            <w:r>
              <w:rPr>
                <w:rFonts w:ascii="宋体" w:hAnsi="宋体" w:cs="宋体"/>
                <w:b/>
                <w:bCs/>
                <w:color w:val="auto"/>
                <w:kern w:val="0"/>
                <w:sz w:val="24"/>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pPr>
              <w:widowControl/>
              <w:spacing w:line="360" w:lineRule="auto"/>
              <w:jc w:val="center"/>
              <w:rPr>
                <w:rFonts w:ascii="宋体" w:hAnsi="宋体" w:cs="宋体"/>
                <w:bCs/>
                <w:color w:val="auto"/>
                <w:kern w:val="0"/>
                <w:sz w:val="24"/>
                <w:highlight w:val="none"/>
              </w:rPr>
            </w:pPr>
            <w:r>
              <w:rPr>
                <w:rFonts w:ascii="宋体" w:hAnsi="宋体" w:cs="宋体"/>
                <w:bCs/>
                <w:color w:val="auto"/>
                <w:kern w:val="0"/>
                <w:sz w:val="24"/>
                <w:highlight w:val="none"/>
              </w:rPr>
              <w:t>联合体</w:t>
            </w:r>
            <w:r>
              <w:rPr>
                <w:rFonts w:hint="eastAsia" w:ascii="宋体" w:hAnsi="宋体" w:cs="宋体"/>
                <w:bCs/>
                <w:color w:val="auto"/>
                <w:kern w:val="0"/>
                <w:sz w:val="24"/>
                <w:highlight w:val="none"/>
              </w:rPr>
              <w:t>要求</w:t>
            </w:r>
          </w:p>
        </w:tc>
        <w:tc>
          <w:tcPr>
            <w:tcW w:w="3490" w:type="pct"/>
            <w:vAlign w:val="center"/>
          </w:tcPr>
          <w:p>
            <w:pPr>
              <w:widowControl/>
              <w:spacing w:line="360" w:lineRule="auto"/>
              <w:jc w:val="center"/>
              <w:rPr>
                <w:rFonts w:ascii="宋体" w:hAnsi="宋体" w:cs="宋体"/>
                <w:bCs/>
                <w:color w:val="auto"/>
                <w:kern w:val="0"/>
                <w:sz w:val="24"/>
                <w:highlight w:val="none"/>
              </w:rPr>
            </w:pPr>
            <w:r>
              <w:rPr>
                <w:rFonts w:ascii="宋体" w:hAnsi="宋体" w:cs="宋体"/>
                <w:bCs/>
                <w:color w:val="auto"/>
                <w:kern w:val="0"/>
                <w:sz w:val="24"/>
                <w:highlight w:val="none"/>
              </w:rPr>
              <w:t>本</w:t>
            </w:r>
            <w:r>
              <w:rPr>
                <w:rFonts w:hint="eastAsia" w:ascii="宋体" w:hAnsi="宋体" w:cs="宋体"/>
                <w:bCs/>
                <w:color w:val="auto"/>
                <w:kern w:val="0"/>
                <w:sz w:val="24"/>
                <w:highlight w:val="none"/>
              </w:rPr>
              <w:t>合同</w:t>
            </w:r>
            <w:r>
              <w:rPr>
                <w:rFonts w:ascii="宋体" w:hAnsi="宋体" w:cs="宋体"/>
                <w:bCs/>
                <w:color w:val="auto"/>
                <w:kern w:val="0"/>
                <w:sz w:val="24"/>
                <w:highlight w:val="none"/>
              </w:rPr>
              <w:t>包</w:t>
            </w:r>
            <w:r>
              <w:rPr>
                <w:rFonts w:hint="eastAsia" w:ascii="宋体" w:hAnsi="宋体" w:cs="宋体"/>
                <w:bCs/>
                <w:color w:val="auto"/>
                <w:kern w:val="0"/>
                <w:sz w:val="24"/>
                <w:highlight w:val="none"/>
              </w:rPr>
              <w:t>不</w:t>
            </w:r>
            <w:r>
              <w:rPr>
                <w:rFonts w:ascii="宋体" w:hAnsi="宋体" w:cs="宋体"/>
                <w:bCs/>
                <w:color w:val="auto"/>
                <w:kern w:val="0"/>
                <w:sz w:val="24"/>
                <w:highlight w:val="none"/>
              </w:rPr>
              <w:t>接受联合体</w:t>
            </w:r>
            <w:r>
              <w:rPr>
                <w:rFonts w:hint="eastAsia" w:ascii="宋体" w:hAnsi="宋体" w:cs="宋体"/>
                <w:bCs/>
                <w:color w:val="auto"/>
                <w:kern w:val="0"/>
                <w:sz w:val="24"/>
                <w:highlight w:val="none"/>
              </w:rPr>
              <w:t>响应。</w:t>
            </w:r>
          </w:p>
        </w:tc>
      </w:tr>
    </w:tbl>
    <w:p>
      <w:pPr>
        <w:pStyle w:val="2"/>
        <w:spacing w:before="240" w:after="240"/>
        <w:rPr>
          <w:rFonts w:ascii="黑体" w:hAnsi="黑体"/>
          <w:color w:val="auto"/>
          <w:highlight w:val="none"/>
        </w:rPr>
      </w:pPr>
      <w:bookmarkStart w:id="1" w:name="_Toc77513636"/>
      <w:r>
        <w:rPr>
          <w:rFonts w:ascii="黑体" w:hAnsi="黑体"/>
          <w:color w:val="auto"/>
          <w:highlight w:val="none"/>
        </w:rPr>
        <w:t>第二章</w:t>
      </w:r>
      <w:r>
        <w:rPr>
          <w:rFonts w:hint="eastAsia" w:ascii="黑体" w:hAnsi="黑体"/>
          <w:color w:val="auto"/>
          <w:highlight w:val="none"/>
        </w:rPr>
        <w:t xml:space="preserve">  竞争性磋商须知</w:t>
      </w:r>
      <w:bookmarkEnd w:id="1"/>
    </w:p>
    <w:p>
      <w:pPr>
        <w:pStyle w:val="3"/>
        <w:spacing w:before="240" w:after="240"/>
        <w:rPr>
          <w:color w:val="auto"/>
          <w:kern w:val="0"/>
          <w:highlight w:val="none"/>
        </w:rPr>
      </w:pPr>
      <w:bookmarkStart w:id="2" w:name="_Toc77513637"/>
      <w:r>
        <w:rPr>
          <w:color w:val="auto"/>
          <w:kern w:val="0"/>
          <w:highlight w:val="none"/>
        </w:rPr>
        <w:t>第1节</w:t>
      </w:r>
      <w:r>
        <w:rPr>
          <w:rFonts w:hint="eastAsia"/>
          <w:color w:val="auto"/>
          <w:kern w:val="0"/>
          <w:highlight w:val="none"/>
        </w:rPr>
        <w:t xml:space="preserve">  </w:t>
      </w:r>
      <w:r>
        <w:rPr>
          <w:color w:val="auto"/>
          <w:kern w:val="0"/>
          <w:highlight w:val="none"/>
        </w:rPr>
        <w:t>竞争性磋商须知前附表</w:t>
      </w:r>
      <w:bookmarkEnd w:id="2"/>
    </w:p>
    <w:p>
      <w:pPr>
        <w:widowControl/>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竞争性磋商须知前附表是对竞争性磋商须知的补充和细化，二者如有矛盾，以前附表中的要求和规定为准</w:t>
      </w:r>
      <w:r>
        <w:rPr>
          <w:rFonts w:hint="eastAsia" w:ascii="宋体" w:hAnsi="宋体" w:cs="宋体"/>
          <w:color w:val="auto"/>
          <w:kern w:val="0"/>
          <w:sz w:val="24"/>
          <w:highlight w:val="none"/>
        </w:rPr>
        <w:t>。</w:t>
      </w:r>
    </w:p>
    <w:p>
      <w:pPr>
        <w:widowControl/>
        <w:spacing w:before="55" w:after="55" w:line="360" w:lineRule="auto"/>
        <w:jc w:val="left"/>
        <w:rPr>
          <w:rFonts w:ascii="黑体" w:hAnsi="黑体" w:eastAsia="黑体" w:cs="宋体"/>
          <w:b/>
          <w:color w:val="auto"/>
          <w:kern w:val="0"/>
          <w:sz w:val="28"/>
          <w:szCs w:val="28"/>
          <w:highlight w:val="none"/>
        </w:rPr>
      </w:pPr>
      <w:r>
        <w:rPr>
          <w:rFonts w:hint="eastAsia" w:ascii="黑体" w:hAnsi="黑体" w:eastAsia="黑体" w:cs="宋体"/>
          <w:b/>
          <w:color w:val="auto"/>
          <w:kern w:val="0"/>
          <w:sz w:val="28"/>
          <w:szCs w:val="28"/>
          <w:highlight w:val="none"/>
        </w:rPr>
        <w:t>表1</w:t>
      </w:r>
    </w:p>
    <w:tbl>
      <w:tblPr>
        <w:tblStyle w:val="1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1120"/>
        <w:gridCol w:w="7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项号</w:t>
            </w:r>
          </w:p>
        </w:tc>
        <w:tc>
          <w:tcPr>
            <w:tcW w:w="1120"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条款号</w:t>
            </w:r>
          </w:p>
        </w:tc>
        <w:tc>
          <w:tcPr>
            <w:tcW w:w="7388"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p>
        </w:tc>
        <w:tc>
          <w:tcPr>
            <w:tcW w:w="1120"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2.3</w:t>
            </w:r>
          </w:p>
        </w:tc>
        <w:tc>
          <w:tcPr>
            <w:tcW w:w="7388" w:type="dxa"/>
            <w:vAlign w:val="center"/>
          </w:tcPr>
          <w:p>
            <w:pPr>
              <w:widowControl/>
              <w:spacing w:line="360" w:lineRule="auto"/>
              <w:rPr>
                <w:rFonts w:cs="宋体" w:asciiTheme="minorEastAsia" w:hAnsiTheme="minorEastAsia" w:eastAsiaTheme="minorEastAsia"/>
                <w:bCs/>
                <w:color w:val="auto"/>
                <w:kern w:val="0"/>
                <w:sz w:val="24"/>
                <w:highlight w:val="none"/>
              </w:rPr>
            </w:pPr>
            <w:r>
              <w:rPr>
                <w:rFonts w:hint="eastAsia" w:cs="宋体" w:asciiTheme="minorEastAsia" w:hAnsiTheme="minorEastAsia" w:eastAsiaTheme="minorEastAsia"/>
                <w:bCs/>
                <w:color w:val="auto"/>
                <w:kern w:val="0"/>
                <w:sz w:val="24"/>
                <w:highlight w:val="none"/>
              </w:rPr>
              <w:t>本项目采用以下</w:t>
            </w:r>
            <w:r>
              <w:rPr>
                <w:rFonts w:hint="eastAsia" w:cs="宋体" w:asciiTheme="minorEastAsia" w:hAnsiTheme="minorEastAsia" w:eastAsiaTheme="minorEastAsia"/>
                <w:b/>
                <w:bCs/>
                <w:color w:val="auto"/>
                <w:kern w:val="0"/>
                <w:sz w:val="24"/>
                <w:highlight w:val="none"/>
                <w:u w:val="single"/>
              </w:rPr>
              <w:t>第（1）种</w:t>
            </w:r>
            <w:r>
              <w:rPr>
                <w:rFonts w:hint="eastAsia" w:cs="宋体" w:asciiTheme="minorEastAsia" w:hAnsiTheme="minorEastAsia" w:eastAsiaTheme="minorEastAsia"/>
                <w:bCs/>
                <w:color w:val="auto"/>
                <w:kern w:val="0"/>
                <w:sz w:val="24"/>
                <w:highlight w:val="none"/>
              </w:rPr>
              <w:t>方式邀请供应商参与磋商采购活动：</w:t>
            </w:r>
          </w:p>
          <w:p>
            <w:pPr>
              <w:widowControl/>
              <w:spacing w:line="360" w:lineRule="auto"/>
              <w:rPr>
                <w:rFonts w:cs="宋体" w:asciiTheme="minorEastAsia" w:hAnsiTheme="minorEastAsia" w:eastAsiaTheme="minorEastAsia"/>
                <w:bCs/>
                <w:color w:val="auto"/>
                <w:kern w:val="0"/>
                <w:sz w:val="24"/>
                <w:highlight w:val="none"/>
              </w:rPr>
            </w:pPr>
            <w:r>
              <w:rPr>
                <w:rFonts w:hint="eastAsia" w:cs="宋体" w:asciiTheme="minorEastAsia" w:hAnsiTheme="minorEastAsia" w:eastAsiaTheme="minorEastAsia"/>
                <w:bCs/>
                <w:color w:val="auto"/>
                <w:kern w:val="0"/>
                <w:sz w:val="24"/>
                <w:highlight w:val="none"/>
              </w:rPr>
              <w:t>（1）发布公告（任何供应商均可参与）。</w:t>
            </w:r>
          </w:p>
          <w:p>
            <w:pPr>
              <w:widowControl/>
              <w:spacing w:line="360" w:lineRule="auto"/>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Cs/>
                <w:color w:val="auto"/>
                <w:kern w:val="0"/>
                <w:sz w:val="24"/>
                <w:highlight w:val="none"/>
              </w:rPr>
              <w:t>（2）书面推荐（被推荐邀请的供应商才能参与）。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p>
        </w:tc>
        <w:tc>
          <w:tcPr>
            <w:tcW w:w="1120"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2.4</w:t>
            </w:r>
          </w:p>
        </w:tc>
        <w:tc>
          <w:tcPr>
            <w:tcW w:w="7388" w:type="dxa"/>
            <w:vAlign w:val="center"/>
          </w:tcPr>
          <w:p>
            <w:pPr>
              <w:widowControl/>
              <w:spacing w:line="360" w:lineRule="auto"/>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本次采购最低供应商数量要求：</w:t>
            </w:r>
          </w:p>
          <w:p>
            <w:pPr>
              <w:widowControl/>
              <w:spacing w:line="360" w:lineRule="auto"/>
              <w:rPr>
                <w:rFonts w:cs="宋体" w:asciiTheme="minorEastAsia" w:hAnsiTheme="minorEastAsia" w:eastAsiaTheme="minorEastAsia"/>
                <w:bCs/>
                <w:color w:val="auto"/>
                <w:kern w:val="0"/>
                <w:sz w:val="24"/>
                <w:highlight w:val="none"/>
              </w:rPr>
            </w:pPr>
            <w:r>
              <w:rPr>
                <w:rFonts w:hint="eastAsia" w:ascii="MS Mincho" w:hAnsi="MS Mincho" w:eastAsia="MS Mincho" w:cs="MS Mincho"/>
                <w:bCs/>
                <w:color w:val="auto"/>
                <w:kern w:val="0"/>
                <w:sz w:val="24"/>
                <w:highlight w:val="none"/>
              </w:rPr>
              <w:t>☑</w:t>
            </w:r>
            <w:r>
              <w:rPr>
                <w:rFonts w:hint="eastAsia" w:cs="宋体" w:asciiTheme="minorEastAsia" w:hAnsiTheme="minorEastAsia" w:eastAsiaTheme="minorEastAsia"/>
                <w:bCs/>
                <w:color w:val="auto"/>
                <w:kern w:val="0"/>
                <w:sz w:val="24"/>
                <w:highlight w:val="none"/>
              </w:rPr>
              <w:t>三家。</w:t>
            </w:r>
          </w:p>
          <w:p>
            <w:pPr>
              <w:widowControl/>
              <w:spacing w:line="360" w:lineRule="auto"/>
              <w:rPr>
                <w:rFonts w:cs="宋体" w:asciiTheme="minorEastAsia" w:hAnsiTheme="minorEastAsia" w:eastAsiaTheme="minorEastAsia"/>
                <w:bCs/>
                <w:color w:val="auto"/>
                <w:kern w:val="0"/>
                <w:sz w:val="24"/>
                <w:highlight w:val="none"/>
              </w:rPr>
            </w:pPr>
            <w:r>
              <w:rPr>
                <w:rFonts w:hint="eastAsia" w:cs="宋体" w:asciiTheme="minorEastAsia" w:hAnsiTheme="minorEastAsia" w:eastAsiaTheme="minorEastAsia"/>
                <w:bCs/>
                <w:color w:val="auto"/>
                <w:kern w:val="0"/>
                <w:sz w:val="24"/>
                <w:highlight w:val="none"/>
              </w:rPr>
              <w:t>□两家。</w:t>
            </w:r>
          </w:p>
          <w:p>
            <w:pPr>
              <w:widowControl/>
              <w:spacing w:line="360" w:lineRule="auto"/>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Cs/>
                <w:color w:val="auto"/>
                <w:kern w:val="0"/>
                <w:sz w:val="24"/>
                <w:highlight w:val="none"/>
              </w:rPr>
              <w:t>注：提交响应文件或经评审后有效的供应商数量不足上述要求的，则本次采购失败。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78"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w:t>
            </w:r>
          </w:p>
        </w:tc>
        <w:tc>
          <w:tcPr>
            <w:tcW w:w="1120"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6.3</w:t>
            </w:r>
          </w:p>
        </w:tc>
        <w:tc>
          <w:tcPr>
            <w:tcW w:w="7388" w:type="dxa"/>
            <w:vAlign w:val="center"/>
          </w:tcPr>
          <w:p>
            <w:pPr>
              <w:widowControl/>
              <w:spacing w:line="360" w:lineRule="auto"/>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是否组织现场考察或召开磋商前答疑会：</w:t>
            </w:r>
            <w:r>
              <w:rPr>
                <w:rFonts w:cs="宋体" w:asciiTheme="minorEastAsia" w:hAnsiTheme="minorEastAsia" w:eastAsiaTheme="minorEastAsia"/>
                <w:color w:val="auto"/>
                <w:kern w:val="0"/>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w:t>
            </w:r>
          </w:p>
        </w:tc>
        <w:tc>
          <w:tcPr>
            <w:tcW w:w="1120"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9.1</w:t>
            </w:r>
          </w:p>
        </w:tc>
        <w:tc>
          <w:tcPr>
            <w:tcW w:w="7388" w:type="dxa"/>
            <w:vAlign w:val="center"/>
          </w:tcPr>
          <w:p>
            <w:pPr>
              <w:widowControl/>
              <w:spacing w:line="360" w:lineRule="auto"/>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响应文件有效期：</w:t>
            </w:r>
            <w:r>
              <w:rPr>
                <w:rFonts w:cs="宋体" w:asciiTheme="minorEastAsia" w:hAnsiTheme="minorEastAsia" w:eastAsiaTheme="minorEastAsia"/>
                <w:color w:val="auto"/>
                <w:kern w:val="0"/>
                <w:sz w:val="24"/>
                <w:highlight w:val="none"/>
              </w:rPr>
              <w:t>首次响应文件提交截止时间起90个日历日。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5</w:t>
            </w:r>
          </w:p>
        </w:tc>
        <w:tc>
          <w:tcPr>
            <w:tcW w:w="1120"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10.1</w:t>
            </w:r>
          </w:p>
        </w:tc>
        <w:tc>
          <w:tcPr>
            <w:tcW w:w="7388" w:type="dxa"/>
            <w:vAlign w:val="center"/>
          </w:tcPr>
          <w:p>
            <w:pPr>
              <w:widowControl/>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b/>
                <w:bCs/>
                <w:color w:val="auto"/>
                <w:kern w:val="0"/>
                <w:sz w:val="24"/>
                <w:highlight w:val="none"/>
                <w:lang w:eastAsia="zh-CN"/>
              </w:rPr>
              <w:t>是否</w:t>
            </w:r>
            <w:r>
              <w:rPr>
                <w:rFonts w:cs="宋体" w:asciiTheme="minorEastAsia" w:hAnsiTheme="minorEastAsia" w:eastAsiaTheme="minorEastAsia"/>
                <w:b/>
                <w:bCs/>
                <w:color w:val="auto"/>
                <w:kern w:val="0"/>
                <w:sz w:val="24"/>
                <w:highlight w:val="none"/>
              </w:rPr>
              <w:t>提交磋商保证金：</w:t>
            </w:r>
          </w:p>
          <w:p>
            <w:pPr>
              <w:widowControl/>
              <w:spacing w:line="360" w:lineRule="auto"/>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6</w:t>
            </w:r>
          </w:p>
        </w:tc>
        <w:tc>
          <w:tcPr>
            <w:tcW w:w="1120"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11.1</w:t>
            </w:r>
          </w:p>
        </w:tc>
        <w:tc>
          <w:tcPr>
            <w:tcW w:w="7388" w:type="dxa"/>
            <w:vAlign w:val="center"/>
          </w:tcPr>
          <w:p>
            <w:pPr>
              <w:widowControl/>
              <w:spacing w:line="360" w:lineRule="auto"/>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响应文件的份数</w:t>
            </w:r>
          </w:p>
          <w:p>
            <w:pPr>
              <w:widowControl/>
              <w:spacing w:line="360" w:lineRule="auto"/>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纸质响应文件</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正本</w:t>
            </w:r>
            <w:r>
              <w:rPr>
                <w:rFonts w:hint="eastAsia" w:cs="宋体" w:asciiTheme="minorEastAsia" w:hAnsiTheme="minorEastAsia" w:eastAsiaTheme="minorEastAsia"/>
                <w:color w:val="auto"/>
                <w:kern w:val="0"/>
                <w:sz w:val="24"/>
                <w:highlight w:val="none"/>
              </w:rPr>
              <w:t>1</w:t>
            </w:r>
            <w:r>
              <w:rPr>
                <w:rFonts w:cs="宋体" w:asciiTheme="minorEastAsia" w:hAnsiTheme="minorEastAsia" w:eastAsiaTheme="minorEastAsia"/>
                <w:color w:val="auto"/>
                <w:kern w:val="0"/>
                <w:sz w:val="24"/>
                <w:highlight w:val="none"/>
              </w:rPr>
              <w:t>份、副本</w:t>
            </w:r>
            <w:r>
              <w:rPr>
                <w:rFonts w:hint="eastAsia" w:cs="宋体" w:asciiTheme="minorEastAsia" w:hAnsiTheme="minorEastAsia" w:eastAsiaTheme="minorEastAsia"/>
                <w:color w:val="auto"/>
                <w:kern w:val="0"/>
                <w:sz w:val="24"/>
                <w:highlight w:val="none"/>
              </w:rPr>
              <w:t>2</w:t>
            </w:r>
            <w:r>
              <w:rPr>
                <w:rFonts w:cs="宋体" w:asciiTheme="minorEastAsia" w:hAnsiTheme="minorEastAsia" w:eastAsiaTheme="minorEastAsia"/>
                <w:color w:val="auto"/>
                <w:kern w:val="0"/>
                <w:sz w:val="24"/>
                <w:highlight w:val="none"/>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78"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7</w:t>
            </w:r>
          </w:p>
        </w:tc>
        <w:tc>
          <w:tcPr>
            <w:tcW w:w="1120"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14.4</w:t>
            </w:r>
          </w:p>
        </w:tc>
        <w:tc>
          <w:tcPr>
            <w:tcW w:w="7388" w:type="dxa"/>
            <w:vAlign w:val="center"/>
          </w:tcPr>
          <w:p>
            <w:pPr>
              <w:widowControl/>
              <w:spacing w:line="360" w:lineRule="auto"/>
              <w:rPr>
                <w:rFonts w:cs="宋体" w:asciiTheme="minorEastAsia" w:hAnsiTheme="minorEastAsia" w:eastAsiaTheme="minorEastAsia"/>
                <w:b/>
                <w:bCs/>
                <w:color w:val="auto"/>
                <w:kern w:val="0"/>
                <w:sz w:val="24"/>
                <w:highlight w:val="none"/>
              </w:rPr>
            </w:pPr>
            <w:r>
              <w:rPr>
                <w:rFonts w:cs="宋体" w:asciiTheme="minorEastAsia" w:hAnsiTheme="minorEastAsia" w:eastAsiaTheme="minorEastAsia"/>
                <w:b/>
                <w:bCs/>
                <w:color w:val="auto"/>
                <w:kern w:val="0"/>
                <w:sz w:val="24"/>
                <w:highlight w:val="none"/>
              </w:rPr>
              <w:t>磋商过程中可能发生实质性变动的内容：</w:t>
            </w:r>
          </w:p>
          <w:p>
            <w:pPr>
              <w:widowControl/>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由磋商小组确定。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8</w:t>
            </w:r>
          </w:p>
        </w:tc>
        <w:tc>
          <w:tcPr>
            <w:tcW w:w="1120"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14.9</w:t>
            </w:r>
          </w:p>
        </w:tc>
        <w:tc>
          <w:tcPr>
            <w:tcW w:w="7388" w:type="dxa"/>
            <w:vAlign w:val="center"/>
          </w:tcPr>
          <w:p>
            <w:pPr>
              <w:widowControl/>
              <w:spacing w:line="360" w:lineRule="auto"/>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评审的标准和方法：具体内容详见竞争性磋商须知前附表专项附件“评审的标准和方法”。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9</w:t>
            </w:r>
          </w:p>
        </w:tc>
        <w:tc>
          <w:tcPr>
            <w:tcW w:w="1120"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20</w:t>
            </w:r>
          </w:p>
        </w:tc>
        <w:tc>
          <w:tcPr>
            <w:tcW w:w="7388" w:type="dxa"/>
            <w:vAlign w:val="center"/>
          </w:tcPr>
          <w:p>
            <w:pPr>
              <w:widowControl/>
              <w:spacing w:line="360" w:lineRule="auto"/>
              <w:jc w:val="left"/>
              <w:rPr>
                <w:rFonts w:ascii="宋体" w:hAnsi="宋体" w:cs="宋体"/>
                <w:b/>
                <w:bCs/>
                <w:color w:val="auto"/>
                <w:kern w:val="0"/>
                <w:sz w:val="24"/>
                <w:highlight w:val="none"/>
              </w:rPr>
            </w:pPr>
            <w:r>
              <w:rPr>
                <w:rFonts w:ascii="宋体" w:hAnsi="宋体" w:cs="宋体"/>
                <w:b/>
                <w:bCs/>
                <w:color w:val="auto"/>
                <w:kern w:val="0"/>
                <w:sz w:val="24"/>
                <w:highlight w:val="none"/>
              </w:rPr>
              <w:t>质疑函应采用下列方式之一提交：</w:t>
            </w:r>
          </w:p>
          <w:p>
            <w:pPr>
              <w:widowControl/>
              <w:spacing w:line="36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（1）邮件形式：将质疑函原件扫描发送至邮箱：</w:t>
            </w:r>
            <w:r>
              <w:rPr>
                <w:rFonts w:hint="eastAsia" w:ascii="宋体" w:hAnsi="宋体" w:cs="宋体"/>
                <w:bCs/>
                <w:color w:val="auto"/>
                <w:kern w:val="0"/>
                <w:sz w:val="24"/>
                <w:highlight w:val="none"/>
                <w:lang w:eastAsia="zh-CN"/>
              </w:rPr>
              <w:t>mzj_bgs@xm.gov.cn</w:t>
            </w:r>
            <w:r>
              <w:rPr>
                <w:rFonts w:hint="eastAsia" w:ascii="宋体" w:hAnsi="宋体"/>
                <w:color w:val="auto"/>
                <w:kern w:val="0"/>
                <w:sz w:val="24"/>
                <w:highlight w:val="none"/>
              </w:rPr>
              <w:t>。收到质疑函的时间以邮箱显示的收到时间为准。质疑答复过程中需要核对原件的，质疑人应提供原件核查，否则相关资料可能不被认可。</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（2）快递形式：</w:t>
            </w:r>
            <w:r>
              <w:rPr>
                <w:rFonts w:hint="eastAsia" w:ascii="宋体" w:hAnsi="宋体" w:cs="宋体"/>
                <w:bCs/>
                <w:color w:val="auto"/>
                <w:kern w:val="0"/>
                <w:sz w:val="24"/>
                <w:highlight w:val="none"/>
              </w:rPr>
              <w:t>将质疑函原件快递至</w:t>
            </w:r>
            <w:r>
              <w:rPr>
                <w:rFonts w:hint="eastAsia" w:ascii="宋体" w:hAnsi="宋体" w:cs="宋体"/>
                <w:bCs/>
                <w:color w:val="auto"/>
                <w:kern w:val="0"/>
                <w:sz w:val="24"/>
                <w:highlight w:val="none"/>
                <w:lang w:eastAsia="zh-CN"/>
              </w:rPr>
              <w:t>厦门市民政局行政楼407室</w:t>
            </w:r>
            <w:r>
              <w:rPr>
                <w:rFonts w:hint="eastAsia" w:ascii="宋体" w:hAnsi="宋体" w:cs="宋体"/>
                <w:bCs/>
                <w:color w:val="auto"/>
                <w:kern w:val="0"/>
                <w:sz w:val="24"/>
                <w:highlight w:val="none"/>
              </w:rPr>
              <w:t>，收件人：</w:t>
            </w:r>
            <w:r>
              <w:rPr>
                <w:rFonts w:hint="eastAsia" w:ascii="宋体" w:hAnsi="宋体" w:cs="宋体"/>
                <w:bCs/>
                <w:color w:val="auto"/>
                <w:kern w:val="0"/>
                <w:sz w:val="24"/>
                <w:highlight w:val="none"/>
                <w:lang w:eastAsia="zh-CN"/>
              </w:rPr>
              <w:t>吴</w:t>
            </w:r>
            <w:r>
              <w:rPr>
                <w:rFonts w:hint="eastAsia" w:ascii="宋体" w:hAnsi="宋体" w:cs="宋体"/>
                <w:bCs/>
                <w:color w:val="auto"/>
                <w:kern w:val="0"/>
                <w:sz w:val="24"/>
                <w:highlight w:val="none"/>
              </w:rPr>
              <w:t>先生，电话：</w:t>
            </w:r>
            <w:r>
              <w:rPr>
                <w:rFonts w:hint="eastAsia" w:ascii="宋体" w:hAnsi="宋体" w:cs="宋体"/>
                <w:bCs/>
                <w:color w:val="auto"/>
                <w:kern w:val="0"/>
                <w:sz w:val="24"/>
                <w:highlight w:val="none"/>
                <w:lang w:eastAsia="zh-CN"/>
              </w:rPr>
              <w:t>0592-2892051</w:t>
            </w:r>
            <w:r>
              <w:rPr>
                <w:rFonts w:hint="eastAsia" w:ascii="宋体" w:hAnsi="宋体" w:cs="宋体"/>
                <w:bCs/>
                <w:color w:val="auto"/>
                <w:kern w:val="0"/>
                <w:sz w:val="24"/>
                <w:highlight w:val="none"/>
              </w:rPr>
              <w:t>。</w:t>
            </w:r>
            <w:r>
              <w:rPr>
                <w:rFonts w:hint="eastAsia" w:ascii="宋体" w:hAnsi="宋体"/>
                <w:color w:val="auto"/>
                <w:kern w:val="0"/>
                <w:sz w:val="24"/>
                <w:highlight w:val="none"/>
              </w:rPr>
              <w:t>收到质疑函的时间以快递签收时间为准。</w:t>
            </w:r>
          </w:p>
          <w:p>
            <w:pPr>
              <w:widowControl/>
              <w:spacing w:line="360" w:lineRule="auto"/>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（3）现场送达：</w:t>
            </w:r>
            <w:r>
              <w:rPr>
                <w:rFonts w:hint="eastAsia" w:ascii="宋体" w:hAnsi="宋体" w:cs="宋体"/>
                <w:bCs/>
                <w:color w:val="auto"/>
                <w:kern w:val="0"/>
                <w:sz w:val="24"/>
                <w:highlight w:val="none"/>
              </w:rPr>
              <w:t>将质疑函原件现场送至</w:t>
            </w:r>
            <w:r>
              <w:rPr>
                <w:rFonts w:hint="eastAsia" w:ascii="宋体" w:hAnsi="宋体" w:cs="宋体"/>
                <w:bCs/>
                <w:color w:val="auto"/>
                <w:kern w:val="0"/>
                <w:sz w:val="24"/>
                <w:highlight w:val="none"/>
                <w:lang w:eastAsia="zh-CN"/>
              </w:rPr>
              <w:t>厦门市民政局行政楼407室</w:t>
            </w:r>
            <w:r>
              <w:rPr>
                <w:rFonts w:hint="eastAsia" w:ascii="宋体" w:hAnsi="宋体" w:cs="宋体"/>
                <w:bCs/>
                <w:color w:val="auto"/>
                <w:kern w:val="0"/>
                <w:sz w:val="24"/>
                <w:highlight w:val="none"/>
              </w:rPr>
              <w:t>。</w:t>
            </w:r>
            <w:r>
              <w:rPr>
                <w:rFonts w:hint="eastAsia" w:ascii="宋体" w:hAnsi="宋体"/>
                <w:color w:val="auto"/>
                <w:kern w:val="0"/>
                <w:sz w:val="24"/>
                <w:highlight w:val="none"/>
              </w:rPr>
              <w:t>收到质疑函的时间以前台签收时间为准。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78"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10</w:t>
            </w:r>
          </w:p>
        </w:tc>
        <w:tc>
          <w:tcPr>
            <w:tcW w:w="1120"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1</w:t>
            </w:r>
            <w:r>
              <w:rPr>
                <w:rFonts w:cs="宋体" w:asciiTheme="minorEastAsia" w:hAnsiTheme="minorEastAsia" w:eastAsiaTheme="minorEastAsia"/>
                <w:color w:val="auto"/>
                <w:kern w:val="0"/>
                <w:sz w:val="24"/>
                <w:highlight w:val="none"/>
              </w:rPr>
              <w:t>.2</w:t>
            </w:r>
          </w:p>
        </w:tc>
        <w:tc>
          <w:tcPr>
            <w:tcW w:w="7388" w:type="dxa"/>
            <w:vAlign w:val="center"/>
          </w:tcPr>
          <w:p>
            <w:pPr>
              <w:widowControl/>
              <w:spacing w:line="360" w:lineRule="auto"/>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信息公告指定媒体（以下简称：“指定媒体”）：</w:t>
            </w:r>
          </w:p>
          <w:p>
            <w:pPr>
              <w:widowControl/>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（1）厦门市民政局</w:t>
            </w:r>
            <w:r>
              <w:rPr>
                <w:rFonts w:cs="宋体" w:asciiTheme="minorEastAsia" w:hAnsiTheme="minorEastAsia" w:eastAsiaTheme="minorEastAsia"/>
                <w:color w:val="auto"/>
                <w:kern w:val="0"/>
                <w:sz w:val="24"/>
                <w:highlight w:val="none"/>
              </w:rPr>
              <w:t>，网址</w:t>
            </w:r>
            <w:r>
              <w:rPr>
                <w:rFonts w:hint="eastAsia" w:cs="宋体" w:asciiTheme="minorEastAsia" w:hAnsiTheme="minorEastAsia" w:eastAsiaTheme="minorEastAsia"/>
                <w:color w:val="auto"/>
                <w:kern w:val="0"/>
                <w:sz w:val="24"/>
                <w:highlight w:val="none"/>
              </w:rPr>
              <w:t>mzj</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xm</w:t>
            </w:r>
            <w:r>
              <w:rPr>
                <w:rFonts w:cs="宋体" w:asciiTheme="minorEastAsia" w:hAnsiTheme="minorEastAsia" w:eastAsiaTheme="minorEastAsia"/>
                <w:color w:val="auto"/>
                <w:kern w:val="0"/>
                <w:sz w:val="24"/>
                <w:highlight w:val="none"/>
              </w:rPr>
              <w:t>.gov.cn。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11</w:t>
            </w:r>
          </w:p>
        </w:tc>
        <w:tc>
          <w:tcPr>
            <w:tcW w:w="1120" w:type="dxa"/>
            <w:vAlign w:val="center"/>
          </w:tcPr>
          <w:p>
            <w:pPr>
              <w:widowControl/>
              <w:spacing w:line="360" w:lineRule="auto"/>
              <w:jc w:val="center"/>
              <w:rPr>
                <w:rFonts w:cs="宋体" w:asciiTheme="minorEastAsia" w:hAnsiTheme="minorEastAsia" w:eastAsiaTheme="minorEastAsia"/>
                <w:color w:val="auto"/>
                <w:kern w:val="0"/>
                <w:sz w:val="24"/>
                <w:highlight w:val="none"/>
              </w:rPr>
            </w:pPr>
          </w:p>
        </w:tc>
        <w:tc>
          <w:tcPr>
            <w:tcW w:w="7388" w:type="dxa"/>
            <w:vAlign w:val="center"/>
          </w:tcPr>
          <w:p>
            <w:pPr>
              <w:widowControl/>
              <w:spacing w:line="360" w:lineRule="auto"/>
              <w:jc w:val="left"/>
              <w:rPr>
                <w:rFonts w:ascii="宋体" w:hAnsi="宋体" w:cs="宋体"/>
                <w:color w:val="auto"/>
                <w:kern w:val="0"/>
                <w:sz w:val="24"/>
                <w:highlight w:val="none"/>
              </w:rPr>
            </w:pPr>
            <w:r>
              <w:rPr>
                <w:rFonts w:ascii="宋体" w:hAnsi="宋体" w:cs="宋体"/>
                <w:b/>
                <w:bCs/>
                <w:color w:val="auto"/>
                <w:kern w:val="0"/>
                <w:sz w:val="24"/>
                <w:highlight w:val="none"/>
              </w:rPr>
              <w:t>是否允许</w:t>
            </w:r>
            <w:r>
              <w:rPr>
                <w:rFonts w:hint="eastAsia" w:ascii="宋体" w:hAnsi="宋体" w:cs="宋体"/>
                <w:b/>
                <w:bCs/>
                <w:color w:val="auto"/>
                <w:kern w:val="0"/>
                <w:sz w:val="24"/>
                <w:highlight w:val="none"/>
              </w:rPr>
              <w:t>成交供应商</w:t>
            </w:r>
            <w:r>
              <w:rPr>
                <w:rFonts w:ascii="宋体" w:hAnsi="宋体" w:cs="宋体"/>
                <w:b/>
                <w:bCs/>
                <w:color w:val="auto"/>
                <w:kern w:val="0"/>
                <w:sz w:val="24"/>
                <w:highlight w:val="none"/>
              </w:rPr>
              <w:t>将本项目的非主体、非关键性工作进行分包：</w:t>
            </w:r>
          </w:p>
          <w:p>
            <w:pPr>
              <w:widowControl/>
              <w:spacing w:line="360" w:lineRule="auto"/>
              <w:rPr>
                <w:rFonts w:cs="宋体" w:asciiTheme="minorEastAsia" w:hAnsiTheme="minorEastAsia" w:eastAsiaTheme="minorEastAsia"/>
                <w:b/>
                <w:bCs/>
                <w:color w:val="auto"/>
                <w:kern w:val="0"/>
                <w:sz w:val="24"/>
                <w:highlight w:val="none"/>
              </w:rPr>
            </w:pPr>
            <w:r>
              <w:rPr>
                <w:rFonts w:ascii="宋体" w:hAnsi="宋体" w:cs="宋体"/>
                <w:color w:val="auto"/>
                <w:kern w:val="0"/>
                <w:sz w:val="24"/>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12</w:t>
            </w:r>
          </w:p>
        </w:tc>
        <w:tc>
          <w:tcPr>
            <w:tcW w:w="1120"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24.4</w:t>
            </w:r>
          </w:p>
        </w:tc>
        <w:tc>
          <w:tcPr>
            <w:tcW w:w="7388" w:type="dxa"/>
            <w:vAlign w:val="center"/>
          </w:tcPr>
          <w:p>
            <w:pPr>
              <w:widowControl/>
              <w:spacing w:line="36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本项目是否专门面向中小企业采购：否。</w:t>
            </w:r>
          </w:p>
          <w:p>
            <w:pPr>
              <w:widowControl/>
              <w:spacing w:line="360" w:lineRule="auto"/>
              <w:rPr>
                <w:rFonts w:cs="宋体" w:asciiTheme="minorEastAsia" w:hAnsiTheme="minorEastAsia" w:eastAsiaTheme="minorEastAsia"/>
                <w:b/>
                <w:bCs/>
                <w:color w:val="auto"/>
                <w:kern w:val="0"/>
                <w:sz w:val="24"/>
                <w:highlight w:val="none"/>
              </w:rPr>
            </w:pPr>
            <w:r>
              <w:rPr>
                <w:rFonts w:hint="eastAsia" w:ascii="宋体" w:hAnsi="宋体" w:cs="宋体"/>
                <w:bCs/>
                <w:color w:val="auto"/>
                <w:kern w:val="0"/>
                <w:sz w:val="24"/>
                <w:highlight w:val="none"/>
              </w:rPr>
              <w:t>（具体要求详见表2）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15</w:t>
            </w:r>
          </w:p>
        </w:tc>
        <w:tc>
          <w:tcPr>
            <w:tcW w:w="1120" w:type="dxa"/>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23</w:t>
            </w:r>
          </w:p>
        </w:tc>
        <w:tc>
          <w:tcPr>
            <w:tcW w:w="7388" w:type="dxa"/>
            <w:vAlign w:val="center"/>
          </w:tcPr>
          <w:p>
            <w:pPr>
              <w:widowControl/>
              <w:spacing w:line="360" w:lineRule="auto"/>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根据采购项目特点或政策需要补充的其他新增内容：</w:t>
            </w:r>
            <w:r>
              <w:rPr>
                <w:rFonts w:cs="宋体" w:asciiTheme="minorEastAsia" w:hAnsiTheme="minorEastAsia" w:eastAsiaTheme="minorEastAsia"/>
                <w:color w:val="auto"/>
                <w:kern w:val="0"/>
                <w:sz w:val="24"/>
                <w:highlight w:val="none"/>
              </w:rPr>
              <w:t>无</w:t>
            </w:r>
            <w:r>
              <w:rPr>
                <w:rFonts w:hint="eastAsia" w:cs="宋体" w:asciiTheme="minorEastAsia" w:hAnsiTheme="minorEastAsia" w:eastAsiaTheme="minorEastAsia"/>
                <w:color w:val="auto"/>
                <w:kern w:val="0"/>
                <w:sz w:val="24"/>
                <w:highlight w:val="none"/>
              </w:rPr>
              <w:t>。</w:t>
            </w:r>
          </w:p>
        </w:tc>
      </w:tr>
    </w:tbl>
    <w:p>
      <w:pPr>
        <w:rPr>
          <w:color w:val="auto"/>
          <w:highlight w:val="none"/>
        </w:rPr>
        <w:sectPr>
          <w:pgSz w:w="11906" w:h="16838"/>
          <w:pgMar w:top="1418" w:right="1418" w:bottom="1418" w:left="1418" w:header="851" w:footer="992" w:gutter="0"/>
          <w:pgNumType w:fmt="decimal"/>
          <w:cols w:space="720" w:num="1"/>
          <w:titlePg/>
          <w:docGrid w:linePitch="312" w:charSpace="0"/>
        </w:sectPr>
      </w:pPr>
    </w:p>
    <w:p>
      <w:pPr>
        <w:widowControl/>
        <w:spacing w:before="55" w:after="55" w:line="360" w:lineRule="auto"/>
        <w:jc w:val="left"/>
        <w:rPr>
          <w:rFonts w:ascii="黑体" w:hAnsi="黑体" w:eastAsia="黑体" w:cs="宋体"/>
          <w:b/>
          <w:color w:val="auto"/>
          <w:kern w:val="0"/>
          <w:sz w:val="28"/>
          <w:szCs w:val="28"/>
          <w:highlight w:val="none"/>
        </w:rPr>
      </w:pPr>
      <w:r>
        <w:rPr>
          <w:rFonts w:ascii="黑体" w:hAnsi="黑体" w:eastAsia="黑体" w:cs="宋体"/>
          <w:b/>
          <w:color w:val="auto"/>
          <w:kern w:val="0"/>
          <w:sz w:val="28"/>
          <w:szCs w:val="28"/>
          <w:highlight w:val="none"/>
        </w:rPr>
        <w:t>表2</w:t>
      </w:r>
    </w:p>
    <w:p>
      <w:pPr>
        <w:widowControl/>
        <w:spacing w:before="55" w:after="55" w:line="36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优惠办法</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w:t>
      </w:r>
      <w:r>
        <w:rPr>
          <w:rFonts w:ascii="宋体" w:hAnsi="宋体"/>
          <w:color w:val="auto"/>
          <w:sz w:val="24"/>
          <w:szCs w:val="28"/>
          <w:highlight w:val="none"/>
        </w:rPr>
        <w:t>本项目类别</w:t>
      </w:r>
      <w:r>
        <w:rPr>
          <w:rFonts w:hint="eastAsia" w:ascii="宋体" w:hAnsi="宋体"/>
          <w:color w:val="auto"/>
          <w:sz w:val="24"/>
          <w:szCs w:val="28"/>
          <w:highlight w:val="none"/>
        </w:rPr>
        <w:t>：</w:t>
      </w:r>
    </w:p>
    <w:tbl>
      <w:tblPr>
        <w:tblStyle w:val="1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52"/>
        <w:gridCol w:w="1752"/>
        <w:gridCol w:w="1752"/>
        <w:gridCol w:w="1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2" w:type="dxa"/>
            <w:vAlign w:val="center"/>
          </w:tcPr>
          <w:p>
            <w:pPr>
              <w:spacing w:line="360" w:lineRule="auto"/>
              <w:jc w:val="center"/>
              <w:rPr>
                <w:rFonts w:ascii="宋体" w:hAnsi="宋体"/>
                <w:color w:val="auto"/>
                <w:sz w:val="24"/>
                <w:szCs w:val="28"/>
                <w:highlight w:val="none"/>
              </w:rPr>
            </w:pPr>
            <w:r>
              <w:rPr>
                <w:rFonts w:ascii="宋体" w:hAnsi="宋体"/>
                <w:color w:val="auto"/>
                <w:sz w:val="24"/>
                <w:szCs w:val="28"/>
                <w:highlight w:val="none"/>
              </w:rPr>
              <w:t>合同包</w:t>
            </w:r>
          </w:p>
        </w:tc>
        <w:tc>
          <w:tcPr>
            <w:tcW w:w="1752" w:type="dxa"/>
            <w:vAlign w:val="center"/>
          </w:tcPr>
          <w:p>
            <w:pPr>
              <w:spacing w:line="360" w:lineRule="auto"/>
              <w:jc w:val="center"/>
              <w:rPr>
                <w:rFonts w:ascii="宋体" w:hAnsi="宋体"/>
                <w:color w:val="auto"/>
                <w:sz w:val="24"/>
                <w:szCs w:val="28"/>
                <w:highlight w:val="none"/>
              </w:rPr>
            </w:pPr>
            <w:r>
              <w:rPr>
                <w:rFonts w:ascii="宋体" w:hAnsi="宋体"/>
                <w:color w:val="auto"/>
                <w:sz w:val="24"/>
                <w:szCs w:val="28"/>
                <w:highlight w:val="none"/>
              </w:rPr>
              <w:t>货物类</w:t>
            </w:r>
          </w:p>
        </w:tc>
        <w:tc>
          <w:tcPr>
            <w:tcW w:w="1752" w:type="dxa"/>
            <w:vAlign w:val="center"/>
          </w:tcPr>
          <w:p>
            <w:pPr>
              <w:spacing w:line="360" w:lineRule="auto"/>
              <w:jc w:val="center"/>
              <w:rPr>
                <w:rFonts w:ascii="宋体" w:hAnsi="宋体"/>
                <w:color w:val="auto"/>
                <w:sz w:val="24"/>
                <w:szCs w:val="28"/>
                <w:highlight w:val="none"/>
              </w:rPr>
            </w:pPr>
            <w:r>
              <w:rPr>
                <w:rFonts w:ascii="宋体" w:hAnsi="宋体"/>
                <w:color w:val="auto"/>
                <w:sz w:val="24"/>
                <w:szCs w:val="28"/>
                <w:highlight w:val="none"/>
              </w:rPr>
              <w:t>服务类</w:t>
            </w:r>
          </w:p>
        </w:tc>
        <w:tc>
          <w:tcPr>
            <w:tcW w:w="1753" w:type="dxa"/>
            <w:vAlign w:val="center"/>
          </w:tcPr>
          <w:p>
            <w:pPr>
              <w:spacing w:line="360" w:lineRule="auto"/>
              <w:jc w:val="center"/>
              <w:rPr>
                <w:rFonts w:ascii="宋体" w:hAnsi="宋体"/>
                <w:color w:val="auto"/>
                <w:sz w:val="24"/>
                <w:szCs w:val="28"/>
                <w:highlight w:val="none"/>
              </w:rPr>
            </w:pPr>
            <w:r>
              <w:rPr>
                <w:rFonts w:ascii="宋体" w:hAnsi="宋体"/>
                <w:color w:val="auto"/>
                <w:sz w:val="24"/>
                <w:szCs w:val="28"/>
                <w:highlight w:val="none"/>
              </w:rPr>
              <w:t>工程类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2" w:type="dxa"/>
            <w:vAlign w:val="center"/>
          </w:tcPr>
          <w:p>
            <w:pPr>
              <w:spacing w:line="360" w:lineRule="auto"/>
              <w:jc w:val="center"/>
              <w:rPr>
                <w:rFonts w:ascii="宋体" w:hAnsi="宋体"/>
                <w:color w:val="auto"/>
                <w:sz w:val="24"/>
                <w:szCs w:val="28"/>
                <w:highlight w:val="none"/>
              </w:rPr>
            </w:pPr>
            <w:r>
              <w:rPr>
                <w:rFonts w:hint="eastAsia" w:ascii="宋体" w:hAnsi="宋体"/>
                <w:color w:val="auto"/>
                <w:sz w:val="24"/>
                <w:szCs w:val="28"/>
                <w:highlight w:val="none"/>
              </w:rPr>
              <w:t>1</w:t>
            </w:r>
          </w:p>
        </w:tc>
        <w:tc>
          <w:tcPr>
            <w:tcW w:w="1752" w:type="dxa"/>
            <w:vAlign w:val="center"/>
          </w:tcPr>
          <w:p>
            <w:pPr>
              <w:spacing w:line="360" w:lineRule="auto"/>
              <w:jc w:val="center"/>
              <w:rPr>
                <w:rFonts w:ascii="宋体" w:hAnsi="宋体"/>
                <w:color w:val="auto"/>
                <w:sz w:val="24"/>
                <w:szCs w:val="28"/>
                <w:highlight w:val="none"/>
              </w:rPr>
            </w:pPr>
            <w:r>
              <w:rPr>
                <w:rFonts w:ascii="宋体" w:hAnsi="宋体"/>
                <w:color w:val="auto"/>
                <w:sz w:val="24"/>
                <w:szCs w:val="28"/>
                <w:highlight w:val="none"/>
              </w:rPr>
              <w:t>×</w:t>
            </w:r>
          </w:p>
        </w:tc>
        <w:tc>
          <w:tcPr>
            <w:tcW w:w="1752" w:type="dxa"/>
            <w:vAlign w:val="center"/>
          </w:tcPr>
          <w:p>
            <w:pPr>
              <w:spacing w:line="360" w:lineRule="auto"/>
              <w:jc w:val="center"/>
              <w:rPr>
                <w:rFonts w:ascii="宋体" w:hAnsi="宋体"/>
                <w:color w:val="auto"/>
                <w:sz w:val="24"/>
                <w:szCs w:val="28"/>
                <w:highlight w:val="none"/>
              </w:rPr>
            </w:pPr>
            <w:r>
              <w:rPr>
                <w:rFonts w:ascii="宋体" w:hAnsi="宋体"/>
                <w:color w:val="auto"/>
                <w:sz w:val="24"/>
                <w:szCs w:val="28"/>
                <w:highlight w:val="none"/>
              </w:rPr>
              <w:t>√</w:t>
            </w:r>
          </w:p>
        </w:tc>
        <w:tc>
          <w:tcPr>
            <w:tcW w:w="1753" w:type="dxa"/>
            <w:vAlign w:val="center"/>
          </w:tcPr>
          <w:p>
            <w:pPr>
              <w:spacing w:line="360" w:lineRule="auto"/>
              <w:jc w:val="center"/>
              <w:rPr>
                <w:rFonts w:ascii="宋体" w:hAnsi="宋体"/>
                <w:color w:val="auto"/>
                <w:sz w:val="24"/>
                <w:szCs w:val="28"/>
                <w:highlight w:val="none"/>
              </w:rPr>
            </w:pPr>
            <w:r>
              <w:rPr>
                <w:rFonts w:ascii="宋体" w:hAnsi="宋体"/>
                <w:color w:val="auto"/>
                <w:sz w:val="24"/>
                <w:szCs w:val="28"/>
                <w:highlight w:val="none"/>
              </w:rPr>
              <w:t>×</w:t>
            </w:r>
          </w:p>
        </w:tc>
      </w:tr>
    </w:tbl>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2、本项目采购标的所属行业：</w:t>
      </w:r>
    </w:p>
    <w:tbl>
      <w:tblPr>
        <w:tblStyle w:val="1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46"/>
        <w:gridCol w:w="4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46" w:type="dxa"/>
            <w:vAlign w:val="center"/>
          </w:tcPr>
          <w:p>
            <w:pPr>
              <w:spacing w:line="360" w:lineRule="auto"/>
              <w:jc w:val="center"/>
              <w:rPr>
                <w:rFonts w:ascii="宋体" w:hAnsi="宋体"/>
                <w:color w:val="auto"/>
                <w:sz w:val="24"/>
                <w:szCs w:val="28"/>
                <w:highlight w:val="none"/>
              </w:rPr>
            </w:pPr>
            <w:r>
              <w:rPr>
                <w:rFonts w:ascii="宋体" w:hAnsi="宋体"/>
                <w:color w:val="auto"/>
                <w:sz w:val="24"/>
                <w:szCs w:val="28"/>
                <w:highlight w:val="none"/>
              </w:rPr>
              <w:t>合同包</w:t>
            </w:r>
          </w:p>
        </w:tc>
        <w:tc>
          <w:tcPr>
            <w:tcW w:w="4963" w:type="dxa"/>
            <w:vAlign w:val="center"/>
          </w:tcPr>
          <w:p>
            <w:pPr>
              <w:spacing w:line="360" w:lineRule="auto"/>
              <w:jc w:val="center"/>
              <w:rPr>
                <w:rFonts w:ascii="宋体" w:hAnsi="宋体"/>
                <w:color w:val="auto"/>
                <w:sz w:val="24"/>
                <w:szCs w:val="28"/>
                <w:highlight w:val="none"/>
              </w:rPr>
            </w:pPr>
            <w:r>
              <w:rPr>
                <w:rFonts w:hint="eastAsia" w:ascii="宋体" w:hAnsi="宋体"/>
                <w:color w:val="auto"/>
                <w:sz w:val="24"/>
                <w:szCs w:val="28"/>
                <w:highlight w:val="none"/>
              </w:rPr>
              <w:t>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46" w:type="dxa"/>
            <w:vAlign w:val="center"/>
          </w:tcPr>
          <w:p>
            <w:pPr>
              <w:spacing w:line="360" w:lineRule="auto"/>
              <w:jc w:val="center"/>
              <w:rPr>
                <w:rFonts w:ascii="宋体" w:hAnsi="宋体"/>
                <w:color w:val="auto"/>
                <w:sz w:val="24"/>
                <w:szCs w:val="28"/>
                <w:highlight w:val="none"/>
              </w:rPr>
            </w:pPr>
            <w:r>
              <w:rPr>
                <w:rFonts w:hint="eastAsia" w:ascii="宋体" w:hAnsi="宋体"/>
                <w:color w:val="auto"/>
                <w:sz w:val="24"/>
                <w:szCs w:val="28"/>
                <w:highlight w:val="none"/>
              </w:rPr>
              <w:t>1</w:t>
            </w:r>
          </w:p>
        </w:tc>
        <w:tc>
          <w:tcPr>
            <w:tcW w:w="4963" w:type="dxa"/>
            <w:vAlign w:val="center"/>
          </w:tcPr>
          <w:p>
            <w:pPr>
              <w:spacing w:line="360" w:lineRule="auto"/>
              <w:jc w:val="center"/>
              <w:rPr>
                <w:rFonts w:ascii="宋体" w:hAnsi="宋体"/>
                <w:color w:val="auto"/>
                <w:sz w:val="24"/>
                <w:szCs w:val="28"/>
                <w:highlight w:val="none"/>
              </w:rPr>
            </w:pPr>
            <w:r>
              <w:rPr>
                <w:rFonts w:hint="eastAsia" w:ascii="宋体" w:hAnsi="宋体"/>
                <w:color w:val="auto"/>
                <w:sz w:val="24"/>
                <w:szCs w:val="28"/>
                <w:highlight w:val="none"/>
              </w:rPr>
              <w:t>信息技术</w:t>
            </w:r>
          </w:p>
        </w:tc>
      </w:tr>
    </w:tbl>
    <w:p>
      <w:pPr>
        <w:spacing w:line="360" w:lineRule="auto"/>
        <w:ind w:firstLine="480" w:firstLineChars="200"/>
        <w:rPr>
          <w:rFonts w:ascii="宋体" w:hAnsi="宋体"/>
          <w:color w:val="auto"/>
          <w:sz w:val="24"/>
          <w:szCs w:val="28"/>
          <w:highlight w:val="none"/>
        </w:rPr>
      </w:pP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3、非专门面向中小企业采购项目优惠办法：</w:t>
      </w:r>
    </w:p>
    <w:tbl>
      <w:tblPr>
        <w:tblStyle w:val="1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color w:val="auto"/>
                <w:sz w:val="24"/>
                <w:szCs w:val="28"/>
                <w:highlight w:val="none"/>
              </w:rPr>
            </w:pPr>
            <w:r>
              <w:rPr>
                <w:rFonts w:hint="eastAsia" w:ascii="宋体" w:hAnsi="宋体"/>
                <w:color w:val="auto"/>
                <w:sz w:val="24"/>
                <w:szCs w:val="28"/>
                <w:highlight w:val="none"/>
              </w:rPr>
              <w:t>享受优惠政策</w:t>
            </w:r>
          </w:p>
          <w:p>
            <w:pPr>
              <w:spacing w:line="360" w:lineRule="auto"/>
              <w:jc w:val="center"/>
              <w:rPr>
                <w:rFonts w:ascii="宋体" w:hAnsi="宋体"/>
                <w:color w:val="auto"/>
                <w:sz w:val="24"/>
                <w:szCs w:val="28"/>
                <w:highlight w:val="none"/>
              </w:rPr>
            </w:pPr>
            <w:r>
              <w:rPr>
                <w:rFonts w:hint="eastAsia" w:ascii="宋体" w:hAnsi="宋体"/>
                <w:color w:val="auto"/>
                <w:sz w:val="24"/>
                <w:szCs w:val="28"/>
                <w:highlight w:val="none"/>
              </w:rPr>
              <w:t>的条件</w:t>
            </w:r>
          </w:p>
        </w:tc>
        <w:tc>
          <w:tcPr>
            <w:tcW w:w="7193" w:type="dxa"/>
            <w:vAlign w:val="center"/>
          </w:tcPr>
          <w:p>
            <w:pPr>
              <w:spacing w:line="360" w:lineRule="auto"/>
              <w:rPr>
                <w:rFonts w:ascii="宋体" w:hAnsi="宋体"/>
                <w:color w:val="auto"/>
                <w:sz w:val="24"/>
                <w:szCs w:val="28"/>
                <w:highlight w:val="none"/>
              </w:rPr>
            </w:pPr>
            <w:r>
              <w:rPr>
                <w:rFonts w:hint="eastAsia" w:ascii="宋体" w:hAnsi="宋体"/>
                <w:color w:val="auto"/>
                <w:sz w:val="24"/>
                <w:szCs w:val="28"/>
                <w:highlight w:val="none"/>
              </w:rPr>
              <w:t>1、供应商为小微企业，本项目工程由供应商承建，即工程施工单位为小微企业。若供应商与大企业的负责人为同一人，或者与大企业存在直接控股、管理关系的，不享受优惠政策。</w:t>
            </w:r>
          </w:p>
          <w:p>
            <w:pPr>
              <w:spacing w:line="360" w:lineRule="auto"/>
              <w:rPr>
                <w:rFonts w:ascii="宋体" w:hAnsi="宋体"/>
                <w:color w:val="auto"/>
                <w:sz w:val="24"/>
                <w:szCs w:val="28"/>
                <w:highlight w:val="none"/>
              </w:rPr>
            </w:pPr>
            <w:r>
              <w:rPr>
                <w:rFonts w:hint="eastAsia" w:ascii="宋体" w:hAnsi="宋体"/>
                <w:color w:val="auto"/>
                <w:sz w:val="24"/>
                <w:szCs w:val="28"/>
                <w:highlight w:val="none"/>
              </w:rPr>
              <w:t>2、以联合体形式参加采购活动，联合体各方均为小微企业的，联合体视同小微企业。</w:t>
            </w:r>
          </w:p>
          <w:p>
            <w:pPr>
              <w:spacing w:line="360" w:lineRule="auto"/>
              <w:rPr>
                <w:rFonts w:ascii="宋体" w:hAnsi="宋体"/>
                <w:color w:val="auto"/>
                <w:sz w:val="24"/>
                <w:szCs w:val="28"/>
                <w:highlight w:val="none"/>
              </w:rPr>
            </w:pPr>
            <w:r>
              <w:rPr>
                <w:rFonts w:hint="eastAsia" w:ascii="宋体" w:hAnsi="宋体"/>
                <w:color w:val="auto"/>
                <w:sz w:val="24"/>
                <w:szCs w:val="28"/>
                <w:highlight w:val="none"/>
              </w:rPr>
              <w:t>3、监狱企业视同小型、微型企业，若供应商为监狱企业的，提供由省级以上监狱管理局、戒毒管理局（含新疆生产建设兵团）出具的属于监狱企业的证明文件。</w:t>
            </w:r>
          </w:p>
          <w:p>
            <w:pPr>
              <w:spacing w:line="360" w:lineRule="auto"/>
              <w:rPr>
                <w:rFonts w:ascii="宋体" w:hAnsi="宋体"/>
                <w:color w:val="auto"/>
                <w:sz w:val="24"/>
                <w:szCs w:val="28"/>
                <w:highlight w:val="none"/>
              </w:rPr>
            </w:pPr>
            <w:r>
              <w:rPr>
                <w:rFonts w:hint="eastAsia" w:ascii="宋体" w:hAnsi="宋体"/>
                <w:color w:val="auto"/>
                <w:sz w:val="24"/>
                <w:szCs w:val="28"/>
                <w:highlight w:val="none"/>
              </w:rPr>
              <w:t>4、残疾人福利性单位视同小型、微型企业，若供应商为残疾人福利性单位的，提供《残疾人福利性单位声明函》。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color w:val="auto"/>
                <w:sz w:val="24"/>
                <w:szCs w:val="28"/>
                <w:highlight w:val="none"/>
              </w:rPr>
            </w:pPr>
            <w:r>
              <w:rPr>
                <w:rFonts w:hint="eastAsia" w:ascii="宋体" w:hAnsi="宋体"/>
                <w:color w:val="auto"/>
                <w:sz w:val="24"/>
                <w:szCs w:val="28"/>
                <w:highlight w:val="none"/>
              </w:rPr>
              <w:t>享受优惠政策</w:t>
            </w:r>
          </w:p>
          <w:p>
            <w:pPr>
              <w:spacing w:line="360" w:lineRule="auto"/>
              <w:jc w:val="center"/>
              <w:rPr>
                <w:rFonts w:ascii="宋体" w:hAnsi="宋体"/>
                <w:color w:val="auto"/>
                <w:sz w:val="24"/>
                <w:szCs w:val="28"/>
                <w:highlight w:val="none"/>
              </w:rPr>
            </w:pPr>
            <w:r>
              <w:rPr>
                <w:rFonts w:hint="eastAsia" w:ascii="宋体" w:hAnsi="宋体"/>
                <w:color w:val="auto"/>
                <w:sz w:val="24"/>
                <w:szCs w:val="28"/>
                <w:highlight w:val="none"/>
              </w:rPr>
              <w:t>需提供的材料</w:t>
            </w:r>
          </w:p>
        </w:tc>
        <w:tc>
          <w:tcPr>
            <w:tcW w:w="7193" w:type="dxa"/>
            <w:vAlign w:val="center"/>
          </w:tcPr>
          <w:p>
            <w:pPr>
              <w:spacing w:line="360" w:lineRule="auto"/>
              <w:rPr>
                <w:rFonts w:ascii="宋体" w:hAnsi="宋体"/>
                <w:color w:val="auto"/>
                <w:sz w:val="24"/>
                <w:szCs w:val="28"/>
                <w:highlight w:val="none"/>
              </w:rPr>
            </w:pPr>
            <w:r>
              <w:rPr>
                <w:rFonts w:hint="eastAsia" w:ascii="宋体" w:hAnsi="宋体"/>
                <w:color w:val="auto"/>
                <w:sz w:val="24"/>
                <w:szCs w:val="28"/>
                <w:highlight w:val="none"/>
              </w:rPr>
              <w:t>响应文件中需提供《中小企业声明函》。若供应商为监狱企业、残疾人福利性单位的，可不填写《中小企业声明函》，按上述要求提供相应材料即可。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color w:val="auto"/>
                <w:sz w:val="24"/>
                <w:szCs w:val="28"/>
                <w:highlight w:val="none"/>
              </w:rPr>
            </w:pPr>
            <w:r>
              <w:rPr>
                <w:rFonts w:hint="eastAsia" w:ascii="宋体" w:hAnsi="宋体"/>
                <w:color w:val="auto"/>
                <w:sz w:val="24"/>
                <w:szCs w:val="28"/>
                <w:highlight w:val="none"/>
              </w:rPr>
              <w:t>优惠办法</w:t>
            </w:r>
          </w:p>
        </w:tc>
        <w:tc>
          <w:tcPr>
            <w:tcW w:w="7193" w:type="dxa"/>
            <w:vAlign w:val="center"/>
          </w:tcPr>
          <w:p>
            <w:pPr>
              <w:spacing w:line="360" w:lineRule="auto"/>
              <w:rPr>
                <w:rFonts w:ascii="宋体" w:hAnsi="宋体"/>
                <w:color w:val="auto"/>
                <w:sz w:val="24"/>
                <w:szCs w:val="28"/>
                <w:highlight w:val="none"/>
              </w:rPr>
            </w:pPr>
            <w:r>
              <w:rPr>
                <w:rFonts w:hint="eastAsia" w:ascii="宋体" w:hAnsi="宋体"/>
                <w:color w:val="auto"/>
                <w:sz w:val="24"/>
                <w:szCs w:val="28"/>
                <w:highlight w:val="none"/>
              </w:rPr>
              <w:t>1、对小型、微型企业的报价给予5%的扣除，用扣除后的价格参加评审。</w:t>
            </w:r>
          </w:p>
          <w:p>
            <w:pPr>
              <w:spacing w:line="360" w:lineRule="auto"/>
              <w:rPr>
                <w:rFonts w:ascii="宋体" w:hAnsi="宋体"/>
                <w:color w:val="auto"/>
                <w:sz w:val="24"/>
                <w:szCs w:val="28"/>
                <w:highlight w:val="none"/>
              </w:rPr>
            </w:pPr>
            <w:r>
              <w:rPr>
                <w:rFonts w:hint="eastAsia" w:ascii="宋体" w:hAnsi="宋体"/>
                <w:color w:val="auto"/>
                <w:sz w:val="24"/>
                <w:szCs w:val="28"/>
                <w:highlight w:val="none"/>
              </w:rPr>
              <w:t>2、若本项目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93" w:type="dxa"/>
            <w:vAlign w:val="center"/>
          </w:tcPr>
          <w:p>
            <w:pPr>
              <w:spacing w:line="360" w:lineRule="auto"/>
              <w:jc w:val="center"/>
              <w:rPr>
                <w:rFonts w:ascii="宋体" w:hAnsi="宋体"/>
                <w:color w:val="auto"/>
                <w:sz w:val="24"/>
                <w:szCs w:val="28"/>
                <w:highlight w:val="none"/>
              </w:rPr>
            </w:pPr>
            <w:r>
              <w:rPr>
                <w:rFonts w:hint="eastAsia" w:ascii="宋体" w:hAnsi="宋体"/>
                <w:color w:val="auto"/>
                <w:sz w:val="24"/>
                <w:szCs w:val="28"/>
                <w:highlight w:val="none"/>
              </w:rPr>
              <w:t>注意事项</w:t>
            </w:r>
          </w:p>
        </w:tc>
        <w:tc>
          <w:tcPr>
            <w:tcW w:w="7193" w:type="dxa"/>
            <w:vAlign w:val="center"/>
          </w:tcPr>
          <w:p>
            <w:pPr>
              <w:spacing w:line="360" w:lineRule="auto"/>
              <w:rPr>
                <w:rFonts w:ascii="宋体" w:hAnsi="宋体"/>
                <w:color w:val="auto"/>
                <w:sz w:val="24"/>
                <w:szCs w:val="28"/>
                <w:highlight w:val="none"/>
              </w:rPr>
            </w:pPr>
            <w:r>
              <w:rPr>
                <w:rFonts w:hint="eastAsia" w:ascii="宋体" w:hAnsi="宋体"/>
                <w:color w:val="auto"/>
                <w:sz w:val="24"/>
                <w:szCs w:val="28"/>
                <w:highlight w:val="none"/>
              </w:rPr>
              <w:t>1、请供应商根据《关于印发中小企业划型标准规定的通知》（工信部联企业〔2011〕300号）规定的标准对企业规模进行认定。</w:t>
            </w:r>
          </w:p>
          <w:p>
            <w:pPr>
              <w:spacing w:line="360" w:lineRule="auto"/>
              <w:rPr>
                <w:rFonts w:ascii="宋体" w:hAnsi="宋体"/>
                <w:color w:val="auto"/>
                <w:sz w:val="24"/>
                <w:szCs w:val="28"/>
                <w:highlight w:val="none"/>
              </w:rPr>
            </w:pPr>
            <w:r>
              <w:rPr>
                <w:rFonts w:hint="eastAsia" w:ascii="宋体" w:hAnsi="宋体"/>
                <w:color w:val="auto"/>
                <w:sz w:val="24"/>
                <w:szCs w:val="28"/>
                <w:highlight w:val="none"/>
              </w:rPr>
              <w:t>2、供应商需对声明的真实性负责，供应商提供的声明函内容不实的，则属于提供虚假材料谋取成交情形，将被取消成交资格。</w:t>
            </w:r>
          </w:p>
        </w:tc>
      </w:tr>
    </w:tbl>
    <w:p>
      <w:pPr>
        <w:rPr>
          <w:color w:val="auto"/>
          <w:highlight w:val="none"/>
        </w:rPr>
      </w:pPr>
    </w:p>
    <w:p>
      <w:pPr>
        <w:rPr>
          <w:color w:val="auto"/>
          <w:highlight w:val="none"/>
        </w:rPr>
        <w:sectPr>
          <w:pgSz w:w="11906" w:h="16838"/>
          <w:pgMar w:top="1418" w:right="1418" w:bottom="1418" w:left="1418" w:header="851" w:footer="992" w:gutter="0"/>
          <w:pgNumType w:fmt="decimal"/>
          <w:cols w:space="720" w:num="1"/>
          <w:titlePg/>
          <w:docGrid w:linePitch="312" w:charSpace="0"/>
        </w:sectPr>
      </w:pPr>
    </w:p>
    <w:p>
      <w:pPr>
        <w:pStyle w:val="4"/>
        <w:rPr>
          <w:rFonts w:ascii="宋体" w:hAnsi="宋体"/>
          <w:color w:val="auto"/>
          <w:kern w:val="0"/>
          <w:sz w:val="24"/>
          <w:highlight w:val="none"/>
        </w:rPr>
      </w:pPr>
      <w:bookmarkStart w:id="3" w:name="_Toc77513638"/>
      <w:r>
        <w:rPr>
          <w:color w:val="auto"/>
          <w:kern w:val="0"/>
          <w:highlight w:val="none"/>
        </w:rPr>
        <w:t>专项附件：</w:t>
      </w:r>
      <w:r>
        <w:rPr>
          <w:color w:val="auto"/>
          <w:kern w:val="0"/>
          <w:szCs w:val="21"/>
          <w:highlight w:val="none"/>
        </w:rPr>
        <w:t>评审的标准和方法</w:t>
      </w:r>
      <w:bookmarkEnd w:id="3"/>
    </w:p>
    <w:p>
      <w:pPr>
        <w:widowControl/>
        <w:spacing w:beforeLines="50" w:afterLines="50" w:line="360" w:lineRule="auto"/>
        <w:jc w:val="center"/>
        <w:rPr>
          <w:rFonts w:ascii="宋体" w:hAnsi="宋体" w:cs="宋体"/>
          <w:color w:val="auto"/>
          <w:kern w:val="0"/>
          <w:sz w:val="28"/>
          <w:szCs w:val="28"/>
          <w:highlight w:val="none"/>
        </w:rPr>
      </w:pPr>
      <w:r>
        <w:rPr>
          <w:rFonts w:ascii="宋体" w:hAnsi="宋体" w:cs="宋体"/>
          <w:b/>
          <w:bCs/>
          <w:color w:val="auto"/>
          <w:kern w:val="0"/>
          <w:sz w:val="28"/>
          <w:szCs w:val="28"/>
          <w:highlight w:val="none"/>
        </w:rPr>
        <w:t>一、磋商小组</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1.1采购人根据项目的特点依法组建磋商小组。</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1.2磋商小组由采购人</w:t>
      </w:r>
      <w:r>
        <w:rPr>
          <w:rFonts w:hint="eastAsia" w:cs="宋体" w:asciiTheme="minorEastAsia" w:hAnsiTheme="minorEastAsia" w:eastAsiaTheme="minorEastAsia"/>
          <w:color w:val="auto"/>
          <w:kern w:val="0"/>
          <w:sz w:val="24"/>
          <w:highlight w:val="none"/>
        </w:rPr>
        <w:t>组织单位采购小组成员等</w:t>
      </w:r>
      <w:r>
        <w:rPr>
          <w:rFonts w:cs="宋体" w:asciiTheme="minorEastAsia" w:hAnsiTheme="minorEastAsia" w:eastAsiaTheme="minorEastAsia"/>
          <w:color w:val="auto"/>
          <w:kern w:val="0"/>
          <w:sz w:val="24"/>
          <w:highlight w:val="none"/>
        </w:rPr>
        <w:t>（以下简称“评委”）组成。</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1.3磋商小组负责具体磋商和评审事务，并按照下列原则依法独立履行有关职责：</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1.3.1评审应保护国家利益、社会公共利益和各方当事人合法权益，提高采购效益，保证项目质量。</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1.3.2评审应遵循公平、公正、科学、严谨和择优原则。</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1.3.3评审的依据是磋商文件和响应文件，磋商文件中没有规定的评审标准不得作为评审依据。</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1.3.4磋商小组应按照磋商文件规定推荐成交候选供应商或根据采购人的授权确定成交供应商。</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1.3.5评审应遵守下列评审纪律：</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①</w:t>
      </w:r>
      <w:r>
        <w:rPr>
          <w:rFonts w:cs="宋体" w:asciiTheme="minorEastAsia" w:hAnsiTheme="minorEastAsia" w:eastAsiaTheme="minorEastAsia"/>
          <w:color w:val="auto"/>
          <w:kern w:val="0"/>
          <w:sz w:val="24"/>
          <w:highlight w:val="none"/>
        </w:rPr>
        <w:t>评审情况不得私自外泄，有关信息由采购人统一对外发布。</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②</w:t>
      </w:r>
      <w:r>
        <w:rPr>
          <w:rFonts w:cs="宋体" w:asciiTheme="minorEastAsia" w:hAnsiTheme="minorEastAsia" w:eastAsiaTheme="minorEastAsia"/>
          <w:color w:val="auto"/>
          <w:kern w:val="0"/>
          <w:sz w:val="24"/>
          <w:highlight w:val="none"/>
        </w:rPr>
        <w:t>对采购人或供应商提供的要求保密的资料，不得摘记翻印和外传。</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③</w:t>
      </w:r>
      <w:r>
        <w:rPr>
          <w:rFonts w:cs="宋体" w:asciiTheme="minorEastAsia" w:hAnsiTheme="minorEastAsia" w:eastAsiaTheme="minorEastAsia"/>
          <w:color w:val="auto"/>
          <w:kern w:val="0"/>
          <w:sz w:val="24"/>
          <w:highlight w:val="none"/>
        </w:rPr>
        <w:t>不得收受供应商或有关人员的任何礼物，不得串联鼓动其他人袒护某供应商。若与供应商存在利害关系，则应主动声明并回避。</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④</w:t>
      </w:r>
      <w:r>
        <w:rPr>
          <w:rFonts w:cs="宋体" w:asciiTheme="minorEastAsia" w:hAnsiTheme="minorEastAsia" w:eastAsiaTheme="minorEastAsia"/>
          <w:color w:val="auto"/>
          <w:kern w:val="0"/>
          <w:sz w:val="24"/>
          <w:highlight w:val="none"/>
        </w:rPr>
        <w:t>全体磋商小组成员应按照磋商文件规定进行评审，一切认定事项应查有实据且不得弄虚作假。</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⑤</w:t>
      </w:r>
      <w:r>
        <w:rPr>
          <w:rFonts w:cs="宋体" w:asciiTheme="minorEastAsia" w:hAnsiTheme="minorEastAsia" w:eastAsiaTheme="minorEastAsia"/>
          <w:color w:val="auto"/>
          <w:kern w:val="0"/>
          <w:sz w:val="24"/>
          <w:highlight w:val="none"/>
        </w:rPr>
        <w:t>评审中应充分发扬民主，推荐成交供应商候选人或根据采购人授权确定成交供应商后要服从评审报告。</w:t>
      </w:r>
      <w:r>
        <w:rPr>
          <w:rFonts w:ascii="宋体" w:hAnsi="宋体" w:cs="宋体"/>
          <w:color w:val="auto"/>
          <w:kern w:val="0"/>
          <w:sz w:val="16"/>
          <w:szCs w:val="16"/>
          <w:highlight w:val="none"/>
        </w:rPr>
        <w:t> </w:t>
      </w:r>
    </w:p>
    <w:p>
      <w:pPr>
        <w:widowControl/>
        <w:spacing w:beforeLines="50" w:afterLines="50" w:line="360" w:lineRule="auto"/>
        <w:jc w:val="center"/>
        <w:rPr>
          <w:rFonts w:ascii="宋体" w:hAnsi="宋体" w:cs="宋体"/>
          <w:b/>
          <w:bCs/>
          <w:color w:val="auto"/>
          <w:kern w:val="0"/>
          <w:sz w:val="28"/>
          <w:szCs w:val="28"/>
          <w:highlight w:val="none"/>
        </w:rPr>
      </w:pPr>
      <w:r>
        <w:rPr>
          <w:rFonts w:ascii="宋体" w:hAnsi="宋体" w:cs="宋体"/>
          <w:b/>
          <w:bCs/>
          <w:color w:val="auto"/>
          <w:kern w:val="0"/>
          <w:sz w:val="28"/>
          <w:szCs w:val="28"/>
          <w:highlight w:val="none"/>
        </w:rPr>
        <w:t>二、磋商程序</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2.1磋商程序按照磋商文件第二章第2节“竞争性磋商须知”第14条“磋商程序以及评审标准和方法”的相关条款规定执行。</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允许两家供应商进行竞争性磋商采购情形，则提交最后报价的供应商可以为两家。</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2.3最后报价出现前后不一致的（如大写金额和小写金额不一致、单价金额小数点或者百分比有明显错位、总价金额与按单价汇总金额不一致等），磋商小组将要求供应商重新提交最后报价。</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4</w:t>
      </w:r>
      <w:r>
        <w:rPr>
          <w:rFonts w:cs="宋体" w:asciiTheme="minorEastAsia" w:hAnsiTheme="minorEastAsia" w:eastAsiaTheme="minorEastAsia"/>
          <w:color w:val="auto"/>
          <w:kern w:val="0"/>
          <w:sz w:val="24"/>
          <w:highlight w:val="none"/>
        </w:rPr>
        <w:t>只有资格审查和实质性响应审查均合格且按规定提交最后报价的合格供应商才能参加综合评分。</w:t>
      </w:r>
    </w:p>
    <w:p>
      <w:pPr>
        <w:widowControl/>
        <w:spacing w:beforeLines="50" w:afterLines="50" w:line="360" w:lineRule="auto"/>
        <w:jc w:val="center"/>
        <w:rPr>
          <w:rFonts w:ascii="宋体" w:hAnsi="宋体" w:cs="宋体"/>
          <w:b/>
          <w:bCs/>
          <w:color w:val="auto"/>
          <w:kern w:val="0"/>
          <w:sz w:val="28"/>
          <w:szCs w:val="28"/>
          <w:highlight w:val="none"/>
        </w:rPr>
      </w:pPr>
      <w:r>
        <w:rPr>
          <w:rFonts w:ascii="宋体" w:hAnsi="宋体" w:cs="宋体"/>
          <w:b/>
          <w:bCs/>
          <w:color w:val="auto"/>
          <w:kern w:val="0"/>
          <w:sz w:val="28"/>
          <w:szCs w:val="28"/>
          <w:highlight w:val="none"/>
        </w:rPr>
        <w:t>三、综合评分的标准和方法</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3.1磋商小组将采用综合评分法对提交最后报价的合格供应商的响应文件和最后报价进行综合评分。如果磋商项目有多个合同包，则按相应合同包分别进行，具体综合评分的标准和方法如下：</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3.3.1磋商小组将对相应合同包提交最后报价的合格供应商从技术、商务及报价部分分别进行评议并评分，并汇总出技术、商务及报价部分的综合得分。</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3.3.2具体评审标准和方法：</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（1）响应文件满足磋商文件全部实质性要求，且按照评审因素的量化指标综合评审总得分从高到低顺序推荐3名以上成交候选供应商，其中评审总得分最高的供应商为第一成交候选供应商。</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（2）每个供应商的评审总得分FA＝F1＋F2＋F3，其中：F1指价格项评审因素得分、F2指技术项评审因素得分、F3指商务项评审因素得分。</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（3）各项评审因素的设置如下：</w:t>
      </w:r>
    </w:p>
    <w:p>
      <w:pPr>
        <w:widowControl/>
        <w:spacing w:line="360" w:lineRule="auto"/>
        <w:ind w:firstLine="481" w:firstLineChars="200"/>
        <w:jc w:val="left"/>
        <w:rPr>
          <w:rFonts w:cs="宋体" w:asciiTheme="minorEastAsia" w:hAnsiTheme="minorEastAsia" w:eastAsiaTheme="minorEastAsia"/>
          <w:b/>
          <w:color w:val="auto"/>
          <w:kern w:val="0"/>
          <w:sz w:val="24"/>
          <w:highlight w:val="none"/>
        </w:rPr>
      </w:pPr>
      <w:r>
        <w:rPr>
          <w:rFonts w:cs="宋体" w:asciiTheme="minorEastAsia" w:hAnsiTheme="minorEastAsia" w:eastAsiaTheme="minorEastAsia"/>
          <w:b/>
          <w:color w:val="auto"/>
          <w:kern w:val="0"/>
          <w:sz w:val="24"/>
          <w:highlight w:val="none"/>
        </w:rPr>
        <w:t>包1</w:t>
      </w:r>
    </w:p>
    <w:p>
      <w:pPr>
        <w:widowControl/>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（一）技术部分评分</w:t>
      </w:r>
      <w:r>
        <w:rPr>
          <w:rFonts w:hint="eastAsia" w:cs="宋体" w:asciiTheme="minorEastAsia" w:hAnsiTheme="minorEastAsia" w:eastAsiaTheme="minorEastAsia"/>
          <w:b/>
          <w:bCs/>
          <w:color w:val="auto"/>
          <w:kern w:val="0"/>
          <w:sz w:val="24"/>
          <w:highlight w:val="none"/>
        </w:rPr>
        <w:t>F2：</w:t>
      </w:r>
      <w:r>
        <w:rPr>
          <w:rFonts w:cs="宋体" w:asciiTheme="minorEastAsia" w:hAnsiTheme="minorEastAsia" w:eastAsiaTheme="minorEastAsia"/>
          <w:b/>
          <w:bCs/>
          <w:color w:val="auto"/>
          <w:kern w:val="0"/>
          <w:sz w:val="24"/>
          <w:highlight w:val="none"/>
        </w:rPr>
        <w:t>满分</w:t>
      </w:r>
      <w:r>
        <w:rPr>
          <w:rFonts w:hint="eastAsia" w:cs="宋体" w:asciiTheme="minorEastAsia" w:hAnsiTheme="minorEastAsia" w:eastAsiaTheme="minorEastAsia"/>
          <w:b/>
          <w:bCs/>
          <w:color w:val="auto"/>
          <w:kern w:val="0"/>
          <w:sz w:val="24"/>
          <w:highlight w:val="none"/>
          <w:u w:val="single"/>
          <w:lang w:val="en-US" w:eastAsia="zh-CN"/>
        </w:rPr>
        <w:t>6</w:t>
      </w:r>
      <w:r>
        <w:rPr>
          <w:rFonts w:hint="eastAsia" w:cs="宋体" w:asciiTheme="minorEastAsia" w:hAnsiTheme="minorEastAsia" w:eastAsiaTheme="minorEastAsia"/>
          <w:b/>
          <w:bCs/>
          <w:color w:val="auto"/>
          <w:kern w:val="0"/>
          <w:sz w:val="24"/>
          <w:highlight w:val="none"/>
          <w:u w:val="single"/>
        </w:rPr>
        <w:t>5</w:t>
      </w:r>
      <w:r>
        <w:rPr>
          <w:rFonts w:cs="宋体" w:asciiTheme="minorEastAsia" w:hAnsiTheme="minorEastAsia" w:eastAsiaTheme="minorEastAsia"/>
          <w:b/>
          <w:bCs/>
          <w:color w:val="auto"/>
          <w:kern w:val="0"/>
          <w:sz w:val="24"/>
          <w:highlight w:val="none"/>
        </w:rPr>
        <w:t>分</w:t>
      </w:r>
    </w:p>
    <w:tbl>
      <w:tblPr>
        <w:tblStyle w:val="40"/>
        <w:tblW w:w="869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95"/>
        <w:gridCol w:w="483"/>
        <w:gridCol w:w="761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59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评标项目</w:t>
            </w:r>
          </w:p>
        </w:tc>
        <w:tc>
          <w:tcPr>
            <w:tcW w:w="48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评标分值</w:t>
            </w:r>
          </w:p>
        </w:tc>
        <w:tc>
          <w:tcPr>
            <w:tcW w:w="76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4" w:hRule="atLeast"/>
          <w:jc w:val="center"/>
        </w:trPr>
        <w:tc>
          <w:tcPr>
            <w:tcW w:w="59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48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45</w:t>
            </w:r>
          </w:p>
        </w:tc>
        <w:tc>
          <w:tcPr>
            <w:tcW w:w="76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auto"/>
                <w:kern w:val="0"/>
                <w:sz w:val="21"/>
                <w:szCs w:val="21"/>
                <w:lang w:val="en-US" w:eastAsia="zh-CN"/>
              </w:rPr>
            </w:pPr>
            <w:r>
              <w:rPr>
                <w:rFonts w:hint="eastAsia" w:ascii="宋体" w:hAnsi="宋体"/>
                <w:color w:val="auto"/>
                <w:kern w:val="0"/>
                <w:szCs w:val="21"/>
                <w:lang w:val="en-US" w:eastAsia="zh-CN"/>
              </w:rPr>
              <w:t>根据投标人提供的投标文件各项基本要求的逐项响应承诺等方面情况由评委进行评议（需提供投标服务要求响应表），全部满足磋商文件</w:t>
            </w:r>
            <w:r>
              <w:rPr>
                <w:rFonts w:hint="eastAsia" w:ascii="宋体" w:hAnsi="宋体"/>
                <w:color w:val="auto"/>
                <w:kern w:val="0"/>
                <w:szCs w:val="21"/>
                <w:highlight w:val="none"/>
                <w:lang w:val="en-US" w:eastAsia="zh-CN"/>
              </w:rPr>
              <w:t>第三章</w:t>
            </w:r>
            <w:r>
              <w:rPr>
                <w:rFonts w:hint="eastAsia" w:ascii="宋体" w:hAnsi="宋体"/>
                <w:color w:val="auto"/>
                <w:kern w:val="0"/>
                <w:szCs w:val="21"/>
                <w:lang w:val="en-US" w:eastAsia="zh-CN"/>
              </w:rPr>
              <w:t>采购内容及要求中“二、技术和服务要求”的得45分；指标１-指标50每负偏离一项扣0.5分，指标51-指标70每负偏离一项扣1分，扣完为止。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34" w:hRule="atLeast"/>
          <w:jc w:val="center"/>
        </w:trPr>
        <w:tc>
          <w:tcPr>
            <w:tcW w:w="59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48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5</w:t>
            </w:r>
          </w:p>
        </w:tc>
        <w:tc>
          <w:tcPr>
            <w:tcW w:w="76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根据</w:t>
            </w:r>
            <w:r>
              <w:rPr>
                <w:rFonts w:hint="eastAsia" w:ascii="宋体" w:hAnsi="宋体" w:cs="宋体"/>
                <w:color w:val="auto"/>
                <w:kern w:val="0"/>
                <w:sz w:val="21"/>
                <w:szCs w:val="21"/>
                <w:lang w:val="en-US" w:eastAsia="zh-CN"/>
              </w:rPr>
              <w:t>投标人</w:t>
            </w:r>
            <w:r>
              <w:rPr>
                <w:rFonts w:hint="eastAsia" w:ascii="宋体" w:hAnsi="宋体" w:eastAsia="宋体" w:cs="宋体"/>
                <w:color w:val="auto"/>
                <w:kern w:val="0"/>
                <w:sz w:val="21"/>
                <w:szCs w:val="21"/>
                <w:lang w:val="en-US" w:eastAsia="zh-CN"/>
              </w:rPr>
              <w:t>对本项目的理解由</w:t>
            </w:r>
            <w:r>
              <w:rPr>
                <w:rFonts w:hint="eastAsia" w:ascii="宋体" w:hAnsi="宋体" w:cs="宋体"/>
                <w:color w:val="auto"/>
                <w:kern w:val="0"/>
                <w:sz w:val="21"/>
                <w:szCs w:val="21"/>
                <w:lang w:val="en-US" w:eastAsia="zh-CN"/>
              </w:rPr>
              <w:t>评委</w:t>
            </w:r>
            <w:r>
              <w:rPr>
                <w:rFonts w:hint="eastAsia" w:ascii="宋体" w:hAnsi="宋体" w:eastAsia="宋体" w:cs="宋体"/>
                <w:color w:val="auto"/>
                <w:kern w:val="0"/>
                <w:sz w:val="21"/>
                <w:szCs w:val="21"/>
                <w:lang w:val="en-US" w:eastAsia="zh-CN"/>
              </w:rPr>
              <w:t>进行</w:t>
            </w:r>
            <w:r>
              <w:rPr>
                <w:rFonts w:hint="eastAsia" w:ascii="宋体" w:hAnsi="宋体" w:cs="宋体"/>
                <w:color w:val="auto"/>
                <w:kern w:val="0"/>
                <w:sz w:val="21"/>
                <w:szCs w:val="21"/>
                <w:lang w:val="en-US" w:eastAsia="zh-CN"/>
              </w:rPr>
              <w:t>评议</w:t>
            </w:r>
            <w:r>
              <w:rPr>
                <w:rFonts w:hint="eastAsia" w:ascii="宋体" w:hAnsi="宋体" w:eastAsia="宋体" w:cs="宋体"/>
                <w:color w:val="auto"/>
                <w:kern w:val="0"/>
                <w:sz w:val="21"/>
                <w:szCs w:val="21"/>
                <w:lang w:val="en-US" w:eastAsia="zh-CN"/>
              </w:rPr>
              <w:t>：①阐述内容清晰、对项目理解透彻的得</w:t>
            </w:r>
            <w:r>
              <w:rPr>
                <w:rFonts w:hint="eastAsia" w:ascii="宋体" w:hAnsi="宋体" w:cs="宋体"/>
                <w:color w:val="auto"/>
                <w:kern w:val="0"/>
                <w:sz w:val="21"/>
                <w:szCs w:val="21"/>
                <w:lang w:val="en-US" w:eastAsia="zh-CN"/>
              </w:rPr>
              <w:t>4-5</w:t>
            </w:r>
            <w:r>
              <w:rPr>
                <w:rFonts w:hint="eastAsia" w:ascii="宋体" w:hAnsi="宋体" w:eastAsia="宋体" w:cs="宋体"/>
                <w:color w:val="auto"/>
                <w:kern w:val="0"/>
                <w:sz w:val="21"/>
                <w:szCs w:val="21"/>
                <w:lang w:val="en-US" w:eastAsia="zh-CN"/>
              </w:rPr>
              <w:t>分；②阐述内容较清晰、对项目理解一般的得2</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lang w:val="en-US" w:eastAsia="zh-CN"/>
              </w:rPr>
              <w:t>分；③阐述内容一般、对项目理解</w:t>
            </w:r>
            <w:r>
              <w:rPr>
                <w:rFonts w:hint="eastAsia" w:ascii="宋体" w:hAnsi="宋体" w:cs="宋体"/>
                <w:color w:val="auto"/>
                <w:kern w:val="0"/>
                <w:sz w:val="21"/>
                <w:szCs w:val="21"/>
                <w:lang w:val="en-US" w:eastAsia="zh-CN"/>
              </w:rPr>
              <w:t>不清晰</w:t>
            </w:r>
            <w:r>
              <w:rPr>
                <w:rFonts w:hint="eastAsia" w:ascii="宋体" w:hAnsi="宋体" w:eastAsia="宋体" w:cs="宋体"/>
                <w:color w:val="auto"/>
                <w:kern w:val="0"/>
                <w:sz w:val="21"/>
                <w:szCs w:val="21"/>
                <w:lang w:val="en-US" w:eastAsia="zh-CN"/>
              </w:rPr>
              <w:t>的得1分。未提供或内容不符合要求的不得分。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51" w:hRule="atLeast"/>
          <w:jc w:val="center"/>
        </w:trPr>
        <w:tc>
          <w:tcPr>
            <w:tcW w:w="59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1-3</w:t>
            </w:r>
          </w:p>
        </w:tc>
        <w:tc>
          <w:tcPr>
            <w:tcW w:w="48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5</w:t>
            </w:r>
          </w:p>
        </w:tc>
        <w:tc>
          <w:tcPr>
            <w:tcW w:w="76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根据投标人提供针对本项目的技术方案由评委进行评议 ：①方案详实、阐述清晰、可操作性强、满足项目需求的得</w:t>
            </w:r>
            <w:r>
              <w:rPr>
                <w:rFonts w:hint="eastAsia" w:ascii="宋体" w:hAnsi="宋体" w:cs="宋体"/>
                <w:color w:val="auto"/>
                <w:kern w:val="0"/>
                <w:szCs w:val="21"/>
                <w:lang w:val="en-US" w:eastAsia="zh-CN"/>
              </w:rPr>
              <w:t>4-5</w:t>
            </w:r>
            <w:r>
              <w:rPr>
                <w:rFonts w:hint="eastAsia" w:ascii="宋体" w:hAnsi="宋体" w:cs="宋体"/>
                <w:color w:val="auto"/>
                <w:kern w:val="0"/>
                <w:szCs w:val="21"/>
              </w:rPr>
              <w:t xml:space="preserve">分；② </w:t>
            </w:r>
            <w:r>
              <w:rPr>
                <w:rFonts w:ascii="宋体" w:hAnsi="宋体" w:cs="宋体"/>
                <w:bCs/>
                <w:color w:val="auto"/>
                <w:kern w:val="0"/>
                <w:szCs w:val="21"/>
              </w:rPr>
              <w:t>方案基本完整</w:t>
            </w:r>
            <w:r>
              <w:rPr>
                <w:rFonts w:hint="eastAsia" w:ascii="宋体" w:hAnsi="宋体" w:cs="宋体"/>
                <w:color w:val="auto"/>
                <w:kern w:val="0"/>
                <w:szCs w:val="21"/>
              </w:rPr>
              <w:t>、</w:t>
            </w:r>
            <w:r>
              <w:rPr>
                <w:rFonts w:ascii="宋体" w:hAnsi="宋体" w:cs="宋体"/>
                <w:bCs/>
                <w:color w:val="auto"/>
                <w:kern w:val="0"/>
                <w:szCs w:val="21"/>
              </w:rPr>
              <w:t>可操作性一般</w:t>
            </w:r>
            <w:r>
              <w:rPr>
                <w:rFonts w:hint="eastAsia" w:ascii="宋体" w:hAnsi="宋体" w:cs="宋体"/>
                <w:color w:val="auto"/>
                <w:kern w:val="0"/>
                <w:szCs w:val="21"/>
              </w:rPr>
              <w:t>的得</w:t>
            </w:r>
            <w:r>
              <w:rPr>
                <w:rFonts w:hint="eastAsia" w:ascii="宋体" w:hAnsi="宋体" w:cs="宋体"/>
                <w:color w:val="auto"/>
                <w:kern w:val="0"/>
                <w:szCs w:val="21"/>
                <w:lang w:val="en-US" w:eastAsia="zh-CN"/>
              </w:rPr>
              <w:t>2-3</w:t>
            </w:r>
            <w:r>
              <w:rPr>
                <w:rFonts w:hint="eastAsia" w:ascii="宋体" w:hAnsi="宋体" w:cs="宋体"/>
                <w:color w:val="auto"/>
                <w:kern w:val="0"/>
                <w:szCs w:val="21"/>
              </w:rPr>
              <w:t>分；③</w:t>
            </w:r>
            <w:r>
              <w:rPr>
                <w:rFonts w:ascii="宋体" w:hAnsi="宋体" w:cs="宋体"/>
                <w:color w:val="auto"/>
                <w:kern w:val="0"/>
                <w:szCs w:val="21"/>
              </w:rPr>
              <w:t>方案不完整</w:t>
            </w:r>
            <w:r>
              <w:rPr>
                <w:rFonts w:hint="eastAsia" w:ascii="宋体" w:hAnsi="宋体" w:cs="宋体"/>
                <w:bCs/>
                <w:color w:val="auto"/>
                <w:kern w:val="0"/>
                <w:szCs w:val="21"/>
              </w:rPr>
              <w:t>、</w:t>
            </w:r>
            <w:r>
              <w:rPr>
                <w:rFonts w:ascii="宋体" w:hAnsi="宋体" w:cs="宋体"/>
                <w:color w:val="auto"/>
                <w:kern w:val="0"/>
                <w:szCs w:val="21"/>
              </w:rPr>
              <w:t>可操作性</w:t>
            </w:r>
            <w:r>
              <w:rPr>
                <w:rFonts w:hint="eastAsia" w:ascii="宋体" w:hAnsi="宋体" w:cs="宋体"/>
                <w:color w:val="auto"/>
                <w:kern w:val="0"/>
                <w:szCs w:val="21"/>
                <w:lang w:eastAsia="zh-CN"/>
              </w:rPr>
              <w:t>不强</w:t>
            </w:r>
            <w:r>
              <w:rPr>
                <w:rFonts w:hint="eastAsia" w:ascii="宋体" w:hAnsi="宋体" w:eastAsia="宋体" w:cs="宋体"/>
                <w:color w:val="auto"/>
                <w:kern w:val="0"/>
                <w:sz w:val="21"/>
                <w:szCs w:val="21"/>
                <w:lang w:val="en-US" w:eastAsia="zh-CN"/>
              </w:rPr>
              <w:t>的得1分。未提供或内容不符合要求的不得分。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22" w:hRule="atLeast"/>
          <w:jc w:val="center"/>
        </w:trPr>
        <w:tc>
          <w:tcPr>
            <w:tcW w:w="59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1-4</w:t>
            </w:r>
          </w:p>
        </w:tc>
        <w:tc>
          <w:tcPr>
            <w:tcW w:w="48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5</w:t>
            </w:r>
          </w:p>
        </w:tc>
        <w:tc>
          <w:tcPr>
            <w:tcW w:w="76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根据投标人提供故障应急响应解决方案由评委进行评议。①方案提供故障等级制定、响应时间、应急措施等内容且内容设计清晰、</w:t>
            </w:r>
            <w:r>
              <w:rPr>
                <w:rFonts w:hint="eastAsia" w:ascii="宋体" w:hAnsi="宋体" w:cs="宋体"/>
                <w:color w:val="auto"/>
                <w:kern w:val="0"/>
                <w:szCs w:val="21"/>
                <w:lang w:eastAsia="zh-CN"/>
              </w:rPr>
              <w:t>可操作</w:t>
            </w:r>
            <w:r>
              <w:rPr>
                <w:rFonts w:hint="eastAsia" w:ascii="宋体" w:hAnsi="宋体" w:cs="宋体"/>
                <w:color w:val="auto"/>
                <w:kern w:val="0"/>
                <w:szCs w:val="21"/>
              </w:rPr>
              <w:t>性强的、有利于项目实施的得</w:t>
            </w:r>
            <w:r>
              <w:rPr>
                <w:rFonts w:hint="eastAsia" w:ascii="宋体" w:hAnsi="宋体" w:cs="宋体"/>
                <w:color w:val="auto"/>
                <w:kern w:val="0"/>
                <w:szCs w:val="21"/>
                <w:lang w:val="en-US" w:eastAsia="zh-CN"/>
              </w:rPr>
              <w:t>4</w:t>
            </w:r>
            <w:r>
              <w:rPr>
                <w:rFonts w:hint="eastAsia" w:ascii="宋体" w:hAnsi="宋体" w:cs="宋体"/>
                <w:color w:val="auto"/>
                <w:kern w:val="0"/>
                <w:szCs w:val="21"/>
              </w:rPr>
              <w:t>-</w:t>
            </w:r>
            <w:r>
              <w:rPr>
                <w:rFonts w:hint="eastAsia" w:ascii="宋体" w:hAnsi="宋体" w:cs="宋体"/>
                <w:color w:val="auto"/>
                <w:kern w:val="0"/>
                <w:szCs w:val="21"/>
                <w:lang w:val="en-US" w:eastAsia="zh-CN"/>
              </w:rPr>
              <w:t>5</w:t>
            </w:r>
            <w:r>
              <w:rPr>
                <w:rFonts w:hint="eastAsia" w:ascii="宋体" w:hAnsi="宋体" w:cs="宋体"/>
                <w:color w:val="auto"/>
                <w:kern w:val="0"/>
                <w:szCs w:val="21"/>
              </w:rPr>
              <w:t xml:space="preserve">分。② </w:t>
            </w:r>
            <w:r>
              <w:rPr>
                <w:rFonts w:ascii="宋体" w:hAnsi="宋体" w:cs="宋体"/>
                <w:bCs/>
                <w:color w:val="auto"/>
                <w:kern w:val="0"/>
                <w:szCs w:val="21"/>
              </w:rPr>
              <w:t>方案基本完整</w:t>
            </w:r>
            <w:r>
              <w:rPr>
                <w:rFonts w:hint="eastAsia" w:ascii="宋体" w:hAnsi="宋体" w:cs="宋体"/>
                <w:color w:val="auto"/>
                <w:kern w:val="0"/>
                <w:szCs w:val="21"/>
              </w:rPr>
              <w:t>、</w:t>
            </w:r>
            <w:r>
              <w:rPr>
                <w:rFonts w:ascii="宋体" w:hAnsi="宋体" w:cs="宋体"/>
                <w:bCs/>
                <w:color w:val="auto"/>
                <w:kern w:val="0"/>
                <w:szCs w:val="21"/>
              </w:rPr>
              <w:t>可操作性一般</w:t>
            </w:r>
            <w:r>
              <w:rPr>
                <w:rFonts w:hint="eastAsia" w:ascii="宋体" w:hAnsi="宋体" w:cs="宋体"/>
                <w:color w:val="auto"/>
                <w:kern w:val="0"/>
                <w:szCs w:val="21"/>
              </w:rPr>
              <w:t>的得</w:t>
            </w:r>
            <w:r>
              <w:rPr>
                <w:rFonts w:hint="eastAsia" w:ascii="宋体" w:hAnsi="宋体" w:cs="宋体"/>
                <w:color w:val="auto"/>
                <w:kern w:val="0"/>
                <w:szCs w:val="21"/>
                <w:lang w:val="en-US" w:eastAsia="zh-CN"/>
              </w:rPr>
              <w:t>2</w:t>
            </w:r>
            <w:r>
              <w:rPr>
                <w:rFonts w:ascii="宋体" w:hAnsi="宋体" w:cs="宋体"/>
                <w:color w:val="auto"/>
                <w:kern w:val="0"/>
                <w:szCs w:val="21"/>
              </w:rPr>
              <w:t>-</w:t>
            </w:r>
            <w:r>
              <w:rPr>
                <w:rFonts w:hint="eastAsia" w:ascii="宋体" w:hAnsi="宋体" w:cs="宋体"/>
                <w:color w:val="auto"/>
                <w:kern w:val="0"/>
                <w:szCs w:val="21"/>
                <w:lang w:val="en-US" w:eastAsia="zh-CN"/>
              </w:rPr>
              <w:t>3</w:t>
            </w:r>
            <w:r>
              <w:rPr>
                <w:rFonts w:hint="eastAsia" w:ascii="宋体" w:hAnsi="宋体" w:cs="宋体"/>
                <w:color w:val="auto"/>
                <w:kern w:val="0"/>
                <w:szCs w:val="21"/>
              </w:rPr>
              <w:t>分；③</w:t>
            </w:r>
            <w:r>
              <w:rPr>
                <w:rFonts w:ascii="宋体" w:hAnsi="宋体" w:cs="宋体"/>
                <w:color w:val="auto"/>
                <w:kern w:val="0"/>
                <w:szCs w:val="21"/>
              </w:rPr>
              <w:t>方案不完整</w:t>
            </w:r>
            <w:r>
              <w:rPr>
                <w:rFonts w:hint="eastAsia" w:ascii="宋体" w:hAnsi="宋体" w:cs="宋体"/>
                <w:bCs/>
                <w:color w:val="auto"/>
                <w:kern w:val="0"/>
                <w:szCs w:val="21"/>
              </w:rPr>
              <w:t>、</w:t>
            </w:r>
            <w:r>
              <w:rPr>
                <w:rFonts w:ascii="宋体" w:hAnsi="宋体" w:cs="宋体"/>
                <w:color w:val="auto"/>
                <w:kern w:val="0"/>
                <w:szCs w:val="21"/>
              </w:rPr>
              <w:t>可操作性</w:t>
            </w:r>
            <w:r>
              <w:rPr>
                <w:rFonts w:hint="eastAsia" w:ascii="宋体" w:hAnsi="宋体" w:cs="宋体"/>
                <w:color w:val="auto"/>
                <w:kern w:val="0"/>
                <w:szCs w:val="21"/>
                <w:lang w:eastAsia="zh-CN"/>
              </w:rPr>
              <w:t>不强</w:t>
            </w:r>
            <w:r>
              <w:rPr>
                <w:rFonts w:hint="eastAsia" w:ascii="宋体" w:hAnsi="宋体" w:eastAsia="宋体" w:cs="宋体"/>
                <w:color w:val="auto"/>
                <w:kern w:val="0"/>
                <w:sz w:val="21"/>
                <w:szCs w:val="21"/>
                <w:lang w:val="en-US" w:eastAsia="zh-CN"/>
              </w:rPr>
              <w:t>的得1分。未提供或内容不符合要求的不得分。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22" w:hRule="atLeast"/>
          <w:jc w:val="center"/>
        </w:trPr>
        <w:tc>
          <w:tcPr>
            <w:tcW w:w="59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1-5</w:t>
            </w:r>
          </w:p>
        </w:tc>
        <w:tc>
          <w:tcPr>
            <w:tcW w:w="48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5</w:t>
            </w:r>
          </w:p>
        </w:tc>
        <w:tc>
          <w:tcPr>
            <w:tcW w:w="76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根据投标人提供的系统备份方案由评委进行评议，①方案提供备份策略、恢复策略等内容且内容设计清晰、执行性强的、有利于项目实施的得</w:t>
            </w:r>
            <w:r>
              <w:rPr>
                <w:rFonts w:hint="eastAsia" w:ascii="宋体" w:hAnsi="宋体" w:cs="宋体"/>
                <w:color w:val="auto"/>
                <w:kern w:val="0"/>
                <w:szCs w:val="21"/>
                <w:lang w:val="en-US" w:eastAsia="zh-CN"/>
              </w:rPr>
              <w:t>4</w:t>
            </w:r>
            <w:r>
              <w:rPr>
                <w:rFonts w:hint="eastAsia" w:ascii="宋体" w:hAnsi="宋体" w:cs="宋体"/>
                <w:color w:val="auto"/>
                <w:kern w:val="0"/>
                <w:szCs w:val="21"/>
              </w:rPr>
              <w:t>-</w:t>
            </w:r>
            <w:r>
              <w:rPr>
                <w:rFonts w:hint="eastAsia" w:ascii="宋体" w:hAnsi="宋体" w:cs="宋体"/>
                <w:color w:val="auto"/>
                <w:kern w:val="0"/>
                <w:szCs w:val="21"/>
                <w:lang w:val="en-US" w:eastAsia="zh-CN"/>
              </w:rPr>
              <w:t>5</w:t>
            </w:r>
            <w:r>
              <w:rPr>
                <w:rFonts w:hint="eastAsia" w:ascii="宋体" w:hAnsi="宋体" w:cs="宋体"/>
                <w:color w:val="auto"/>
                <w:kern w:val="0"/>
                <w:szCs w:val="21"/>
              </w:rPr>
              <w:t xml:space="preserve">分。② </w:t>
            </w:r>
            <w:r>
              <w:rPr>
                <w:rFonts w:ascii="宋体" w:hAnsi="宋体" w:cs="宋体"/>
                <w:bCs/>
                <w:color w:val="auto"/>
                <w:kern w:val="0"/>
                <w:szCs w:val="21"/>
              </w:rPr>
              <w:t>方案基本完整</w:t>
            </w:r>
            <w:r>
              <w:rPr>
                <w:rFonts w:hint="eastAsia" w:ascii="宋体" w:hAnsi="宋体" w:cs="宋体"/>
                <w:color w:val="auto"/>
                <w:kern w:val="0"/>
                <w:szCs w:val="21"/>
              </w:rPr>
              <w:t>、</w:t>
            </w:r>
            <w:r>
              <w:rPr>
                <w:rFonts w:ascii="宋体" w:hAnsi="宋体" w:cs="宋体"/>
                <w:bCs/>
                <w:color w:val="auto"/>
                <w:kern w:val="0"/>
                <w:szCs w:val="21"/>
              </w:rPr>
              <w:t>可操作性一般</w:t>
            </w:r>
            <w:r>
              <w:rPr>
                <w:rFonts w:hint="eastAsia" w:ascii="宋体" w:hAnsi="宋体" w:cs="宋体"/>
                <w:color w:val="auto"/>
                <w:kern w:val="0"/>
                <w:szCs w:val="21"/>
              </w:rPr>
              <w:t>的得</w:t>
            </w:r>
            <w:r>
              <w:rPr>
                <w:rFonts w:hint="eastAsia" w:ascii="宋体" w:hAnsi="宋体" w:cs="宋体"/>
                <w:color w:val="auto"/>
                <w:kern w:val="0"/>
                <w:szCs w:val="21"/>
                <w:lang w:val="en-US" w:eastAsia="zh-CN"/>
              </w:rPr>
              <w:t>2</w:t>
            </w:r>
            <w:r>
              <w:rPr>
                <w:rFonts w:ascii="宋体" w:hAnsi="宋体" w:cs="宋体"/>
                <w:color w:val="auto"/>
                <w:kern w:val="0"/>
                <w:szCs w:val="21"/>
              </w:rPr>
              <w:t>-</w:t>
            </w:r>
            <w:r>
              <w:rPr>
                <w:rFonts w:hint="eastAsia" w:ascii="宋体" w:hAnsi="宋体" w:cs="宋体"/>
                <w:color w:val="auto"/>
                <w:kern w:val="0"/>
                <w:szCs w:val="21"/>
                <w:lang w:val="en-US" w:eastAsia="zh-CN"/>
              </w:rPr>
              <w:t>3</w:t>
            </w:r>
            <w:r>
              <w:rPr>
                <w:rFonts w:hint="eastAsia" w:ascii="宋体" w:hAnsi="宋体" w:cs="宋体"/>
                <w:color w:val="auto"/>
                <w:kern w:val="0"/>
                <w:szCs w:val="21"/>
              </w:rPr>
              <w:t>分；③</w:t>
            </w:r>
            <w:r>
              <w:rPr>
                <w:rFonts w:ascii="宋体" w:hAnsi="宋体" w:cs="宋体"/>
                <w:color w:val="auto"/>
                <w:kern w:val="0"/>
                <w:szCs w:val="21"/>
              </w:rPr>
              <w:t>方案不完整</w:t>
            </w:r>
            <w:r>
              <w:rPr>
                <w:rFonts w:hint="eastAsia" w:ascii="宋体" w:hAnsi="宋体" w:cs="宋体"/>
                <w:bCs/>
                <w:color w:val="auto"/>
                <w:kern w:val="0"/>
                <w:szCs w:val="21"/>
              </w:rPr>
              <w:t>、</w:t>
            </w:r>
            <w:r>
              <w:rPr>
                <w:rFonts w:ascii="宋体" w:hAnsi="宋体" w:cs="宋体"/>
                <w:color w:val="auto"/>
                <w:kern w:val="0"/>
                <w:szCs w:val="21"/>
              </w:rPr>
              <w:t>可操作性</w:t>
            </w:r>
            <w:r>
              <w:rPr>
                <w:rFonts w:hint="eastAsia" w:ascii="宋体" w:hAnsi="宋体" w:cs="宋体"/>
                <w:color w:val="auto"/>
                <w:kern w:val="0"/>
                <w:szCs w:val="21"/>
                <w:lang w:eastAsia="zh-CN"/>
              </w:rPr>
              <w:t>不强</w:t>
            </w:r>
            <w:r>
              <w:rPr>
                <w:rFonts w:hint="eastAsia" w:ascii="宋体" w:hAnsi="宋体" w:eastAsia="宋体" w:cs="宋体"/>
                <w:color w:val="auto"/>
                <w:kern w:val="0"/>
                <w:sz w:val="21"/>
                <w:szCs w:val="21"/>
                <w:lang w:val="en-US" w:eastAsia="zh-CN"/>
              </w:rPr>
              <w:t>的得1分。未提供或内容不符合要求的不得分。</w:t>
            </w:r>
          </w:p>
        </w:tc>
      </w:tr>
    </w:tbl>
    <w:p>
      <w:pPr>
        <w:widowControl/>
        <w:spacing w:line="360" w:lineRule="auto"/>
        <w:ind w:firstLine="481" w:firstLineChars="200"/>
        <w:jc w:val="left"/>
        <w:rPr>
          <w:rFonts w:cs="宋体" w:asciiTheme="minorEastAsia" w:hAnsiTheme="minorEastAsia" w:eastAsiaTheme="minorEastAsia"/>
          <w:b/>
          <w:bCs/>
          <w:color w:val="auto"/>
          <w:kern w:val="0"/>
          <w:sz w:val="24"/>
          <w:highlight w:val="none"/>
        </w:rPr>
      </w:pPr>
      <w:r>
        <w:rPr>
          <w:rFonts w:cs="宋体" w:asciiTheme="minorEastAsia" w:hAnsiTheme="minorEastAsia" w:eastAsiaTheme="minorEastAsia"/>
          <w:b/>
          <w:bCs/>
          <w:color w:val="auto"/>
          <w:kern w:val="0"/>
          <w:sz w:val="24"/>
          <w:highlight w:val="none"/>
        </w:rPr>
        <w:t>（二）商务部分评分</w:t>
      </w:r>
      <w:r>
        <w:rPr>
          <w:rFonts w:hint="eastAsia" w:cs="宋体" w:asciiTheme="minorEastAsia" w:hAnsiTheme="minorEastAsia" w:eastAsiaTheme="minorEastAsia"/>
          <w:b/>
          <w:bCs/>
          <w:color w:val="auto"/>
          <w:kern w:val="0"/>
          <w:sz w:val="24"/>
          <w:highlight w:val="none"/>
        </w:rPr>
        <w:t>F3：</w:t>
      </w:r>
      <w:r>
        <w:rPr>
          <w:rFonts w:cs="宋体" w:asciiTheme="minorEastAsia" w:hAnsiTheme="minorEastAsia" w:eastAsiaTheme="minorEastAsia"/>
          <w:b/>
          <w:bCs/>
          <w:color w:val="auto"/>
          <w:kern w:val="0"/>
          <w:sz w:val="24"/>
          <w:highlight w:val="none"/>
        </w:rPr>
        <w:t>满分</w:t>
      </w:r>
      <w:r>
        <w:rPr>
          <w:rFonts w:hint="eastAsia" w:cs="宋体" w:asciiTheme="minorEastAsia" w:hAnsiTheme="minorEastAsia" w:eastAsiaTheme="minorEastAsia"/>
          <w:b/>
          <w:bCs/>
          <w:color w:val="auto"/>
          <w:kern w:val="0"/>
          <w:sz w:val="24"/>
          <w:highlight w:val="none"/>
          <w:u w:val="single"/>
          <w:lang w:val="en-US" w:eastAsia="zh-CN"/>
        </w:rPr>
        <w:t>25</w:t>
      </w:r>
      <w:r>
        <w:rPr>
          <w:rFonts w:cs="宋体" w:asciiTheme="minorEastAsia" w:hAnsiTheme="minorEastAsia" w:eastAsiaTheme="minorEastAsia"/>
          <w:b/>
          <w:bCs/>
          <w:color w:val="auto"/>
          <w:kern w:val="0"/>
          <w:sz w:val="24"/>
          <w:highlight w:val="none"/>
        </w:rPr>
        <w:t>分</w:t>
      </w:r>
    </w:p>
    <w:tbl>
      <w:tblPr>
        <w:tblStyle w:val="40"/>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9"/>
        <w:gridCol w:w="528"/>
        <w:gridCol w:w="7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559" w:type="dxa"/>
            <w:noWrap w:val="0"/>
            <w:vAlign w:val="center"/>
          </w:tcPr>
          <w:p>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评标</w:t>
            </w:r>
          </w:p>
          <w:p>
            <w:pPr>
              <w:keepNext w:val="0"/>
              <w:keepLines w:val="0"/>
              <w:widowControl/>
              <w:suppressLineNumbers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项目</w:t>
            </w:r>
          </w:p>
        </w:tc>
        <w:tc>
          <w:tcPr>
            <w:tcW w:w="528" w:type="dxa"/>
            <w:noWrap w:val="0"/>
            <w:vAlign w:val="center"/>
          </w:tcPr>
          <w:p>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评标</w:t>
            </w:r>
          </w:p>
          <w:p>
            <w:pPr>
              <w:keepNext w:val="0"/>
              <w:keepLines w:val="0"/>
              <w:widowControl/>
              <w:suppressLineNumbers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分值</w:t>
            </w:r>
          </w:p>
        </w:tc>
        <w:tc>
          <w:tcPr>
            <w:tcW w:w="7566" w:type="dxa"/>
            <w:noWrap w:val="0"/>
            <w:vAlign w:val="center"/>
          </w:tcPr>
          <w:p>
            <w:pPr>
              <w:keepNext w:val="0"/>
              <w:keepLines w:val="0"/>
              <w:widowControl/>
              <w:suppressLineNumbers w:val="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jc w:val="center"/>
        </w:trPr>
        <w:tc>
          <w:tcPr>
            <w:tcW w:w="559" w:type="dxa"/>
            <w:noWrap w:val="0"/>
            <w:vAlign w:val="center"/>
          </w:tcPr>
          <w:p>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528" w:type="dxa"/>
            <w:noWrap w:val="0"/>
            <w:vAlign w:val="center"/>
          </w:tcPr>
          <w:p>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7566" w:type="dxa"/>
            <w:noWrap w:val="0"/>
            <w:vAlign w:val="center"/>
          </w:tcPr>
          <w:p>
            <w:pPr>
              <w:keepNext w:val="0"/>
              <w:keepLines w:val="0"/>
              <w:widowControl/>
              <w:suppressLineNumbers w:val="0"/>
              <w:jc w:val="left"/>
              <w:rPr>
                <w:rFonts w:hint="eastAsia" w:ascii="宋体" w:hAnsi="宋体"/>
                <w:color w:val="auto"/>
                <w:kern w:val="0"/>
                <w:szCs w:val="21"/>
                <w:lang w:val="en-US" w:eastAsia="zh-CN"/>
              </w:rPr>
            </w:pPr>
            <w:r>
              <w:rPr>
                <w:rFonts w:hint="eastAsia" w:ascii="宋体" w:hAnsi="宋体"/>
                <w:color w:val="auto"/>
                <w:kern w:val="0"/>
                <w:szCs w:val="21"/>
                <w:lang w:val="en-US" w:eastAsia="zh-CN"/>
              </w:rPr>
              <w:t>投标人具有有效期内ISO9001质量管理体系认证并提供证书复印件的得1分，否则不得分。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559" w:type="dxa"/>
            <w:noWrap w:val="0"/>
            <w:vAlign w:val="center"/>
          </w:tcPr>
          <w:p>
            <w:pPr>
              <w:keepNext w:val="0"/>
              <w:keepLines w:val="0"/>
              <w:widowControl/>
              <w:suppressLineNumbers w:val="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w:t>
            </w:r>
          </w:p>
        </w:tc>
        <w:tc>
          <w:tcPr>
            <w:tcW w:w="528" w:type="dxa"/>
            <w:noWrap w:val="0"/>
            <w:vAlign w:val="center"/>
          </w:tcPr>
          <w:p>
            <w:pPr>
              <w:keepNext w:val="0"/>
              <w:keepLines w:val="0"/>
              <w:widowControl/>
              <w:suppressLineNumbers w:val="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7566" w:type="dxa"/>
            <w:noWrap w:val="0"/>
            <w:vAlign w:val="center"/>
          </w:tcPr>
          <w:p>
            <w:pPr>
              <w:keepNext w:val="0"/>
              <w:keepLines w:val="0"/>
              <w:widowControl/>
              <w:suppressLineNumbers w:val="0"/>
              <w:jc w:val="left"/>
              <w:rPr>
                <w:rFonts w:hint="eastAsia" w:ascii="宋体" w:hAnsi="宋体"/>
                <w:color w:val="auto"/>
                <w:kern w:val="0"/>
                <w:szCs w:val="21"/>
                <w:lang w:val="en-US" w:eastAsia="zh-CN"/>
              </w:rPr>
            </w:pPr>
            <w:r>
              <w:rPr>
                <w:rFonts w:hint="eastAsia" w:ascii="宋体" w:hAnsi="宋体"/>
                <w:color w:val="auto"/>
                <w:kern w:val="0"/>
                <w:szCs w:val="21"/>
                <w:lang w:val="en-US" w:eastAsia="zh-CN"/>
              </w:rPr>
              <w:t>投标人具有有效期内ISO27001信息安全管理体系认证并提供证书复印件的得1分，否则不得分。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559" w:type="dxa"/>
            <w:noWrap w:val="0"/>
            <w:vAlign w:val="center"/>
          </w:tcPr>
          <w:p>
            <w:pPr>
              <w:keepNext w:val="0"/>
              <w:keepLines w:val="0"/>
              <w:widowControl/>
              <w:suppressLineNumbers w:val="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w:t>
            </w:r>
          </w:p>
        </w:tc>
        <w:tc>
          <w:tcPr>
            <w:tcW w:w="528" w:type="dxa"/>
            <w:noWrap w:val="0"/>
            <w:vAlign w:val="center"/>
          </w:tcPr>
          <w:p>
            <w:pPr>
              <w:keepNext w:val="0"/>
              <w:keepLines w:val="0"/>
              <w:widowControl/>
              <w:suppressLineNumbers w:val="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7566" w:type="dxa"/>
            <w:noWrap w:val="0"/>
            <w:vAlign w:val="center"/>
          </w:tcPr>
          <w:p>
            <w:pPr>
              <w:keepNext w:val="0"/>
              <w:keepLines w:val="0"/>
              <w:widowControl/>
              <w:suppressLineNumbers w:val="0"/>
              <w:jc w:val="left"/>
              <w:rPr>
                <w:rFonts w:hint="eastAsia" w:ascii="宋体" w:hAnsi="宋体"/>
                <w:color w:val="auto"/>
                <w:kern w:val="0"/>
                <w:szCs w:val="21"/>
                <w:lang w:val="en-US" w:eastAsia="zh-CN"/>
              </w:rPr>
            </w:pPr>
            <w:r>
              <w:rPr>
                <w:rFonts w:hint="eastAsia" w:ascii="宋体" w:hAnsi="宋体"/>
                <w:color w:val="auto"/>
                <w:kern w:val="0"/>
                <w:szCs w:val="21"/>
                <w:lang w:val="en-US" w:eastAsia="zh-CN"/>
              </w:rPr>
              <w:t>投标人具有在有效期内的ISO20000信息技术服务管理体系认证证书并提供证书复印件的得1分，否则不得分。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559" w:type="dxa"/>
            <w:noWrap w:val="0"/>
            <w:vAlign w:val="center"/>
          </w:tcPr>
          <w:p>
            <w:pPr>
              <w:keepNext w:val="0"/>
              <w:keepLines w:val="0"/>
              <w:widowControl/>
              <w:suppressLineNumbers w:val="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w:t>
            </w:r>
          </w:p>
        </w:tc>
        <w:tc>
          <w:tcPr>
            <w:tcW w:w="528" w:type="dxa"/>
            <w:noWrap w:val="0"/>
            <w:vAlign w:val="center"/>
          </w:tcPr>
          <w:p>
            <w:pPr>
              <w:keepNext w:val="0"/>
              <w:keepLines w:val="0"/>
              <w:widowControl/>
              <w:suppressLineNumbers w:val="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7566" w:type="dxa"/>
            <w:noWrap w:val="0"/>
            <w:vAlign w:val="center"/>
          </w:tcPr>
          <w:p>
            <w:pPr>
              <w:keepNext w:val="0"/>
              <w:keepLines w:val="0"/>
              <w:widowControl/>
              <w:suppressLineNumbers w:val="0"/>
              <w:jc w:val="left"/>
              <w:rPr>
                <w:rFonts w:hint="eastAsia" w:ascii="宋体" w:hAnsi="宋体"/>
                <w:color w:val="auto"/>
                <w:kern w:val="0"/>
                <w:szCs w:val="21"/>
                <w:lang w:val="en-US" w:eastAsia="zh-CN"/>
              </w:rPr>
            </w:pPr>
            <w:r>
              <w:rPr>
                <w:rFonts w:hint="eastAsia" w:ascii="宋体" w:hAnsi="宋体"/>
                <w:color w:val="auto"/>
                <w:kern w:val="0"/>
                <w:szCs w:val="21"/>
                <w:lang w:val="en-US" w:eastAsia="zh-CN"/>
              </w:rPr>
              <w:t>投标人具有在有效期内的ISO45001职业健康安全管理体系认证证书并提供证书复印件的得1分，否则不得分。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559" w:type="dxa"/>
            <w:noWrap w:val="0"/>
            <w:vAlign w:val="center"/>
          </w:tcPr>
          <w:p>
            <w:pPr>
              <w:keepNext w:val="0"/>
              <w:keepLines w:val="0"/>
              <w:widowControl/>
              <w:suppressLineNumbers w:val="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w:t>
            </w:r>
          </w:p>
        </w:tc>
        <w:tc>
          <w:tcPr>
            <w:tcW w:w="528" w:type="dxa"/>
            <w:noWrap w:val="0"/>
            <w:vAlign w:val="center"/>
          </w:tcPr>
          <w:p>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7566" w:type="dxa"/>
            <w:noWrap w:val="0"/>
            <w:vAlign w:val="center"/>
          </w:tcPr>
          <w:p>
            <w:pPr>
              <w:keepNext w:val="0"/>
              <w:keepLines w:val="0"/>
              <w:widowControl/>
              <w:suppressLineNumbers w:val="0"/>
              <w:jc w:val="left"/>
              <w:rPr>
                <w:rFonts w:hint="eastAsia" w:ascii="宋体" w:hAnsi="宋体"/>
                <w:color w:val="auto"/>
                <w:kern w:val="0"/>
                <w:szCs w:val="21"/>
                <w:lang w:val="en-US" w:eastAsia="zh-CN"/>
              </w:rPr>
            </w:pPr>
            <w:r>
              <w:rPr>
                <w:rFonts w:hint="eastAsia" w:ascii="宋体" w:hAnsi="宋体"/>
                <w:color w:val="auto"/>
                <w:kern w:val="0"/>
                <w:szCs w:val="21"/>
                <w:lang w:val="en-US" w:eastAsia="zh-CN"/>
              </w:rPr>
              <w:t>投标人具有在有效期内的售后服务认证证书（五星级）并提供证书复印件的得1分，否则不得分。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9" w:type="dxa"/>
            <w:noWrap w:val="0"/>
            <w:vAlign w:val="center"/>
          </w:tcPr>
          <w:p>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6</w:t>
            </w:r>
          </w:p>
        </w:tc>
        <w:tc>
          <w:tcPr>
            <w:tcW w:w="528" w:type="dxa"/>
            <w:noWrap w:val="0"/>
            <w:vAlign w:val="center"/>
          </w:tcPr>
          <w:p>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w:t>
            </w:r>
          </w:p>
        </w:tc>
        <w:tc>
          <w:tcPr>
            <w:tcW w:w="7566" w:type="dxa"/>
            <w:noWrap w:val="0"/>
            <w:vAlign w:val="center"/>
          </w:tcPr>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color w:val="auto"/>
                <w:kern w:val="0"/>
                <w:szCs w:val="21"/>
                <w:lang w:val="en-US" w:eastAsia="zh-CN"/>
              </w:rPr>
              <w:t>投标人拟投入本项目的技术服务团队中具备计算机相关专业技术高级资格（水平）证书的人数≥1人的得3分，其他情况不得分。</w:t>
            </w:r>
            <w:r>
              <w:rPr>
                <w:rFonts w:hint="eastAsia" w:ascii="宋体" w:hAnsi="宋体"/>
                <w:color w:val="auto"/>
                <w:kern w:val="0"/>
                <w:szCs w:val="21"/>
              </w:rPr>
              <w:t>须提供相关证书复印件及近三个月</w:t>
            </w:r>
            <w:r>
              <w:rPr>
                <w:rFonts w:hint="eastAsia" w:ascii="宋体" w:hAnsi="宋体"/>
                <w:color w:val="auto"/>
                <w:kern w:val="0"/>
                <w:szCs w:val="21"/>
                <w:lang w:eastAsia="zh-CN"/>
              </w:rPr>
              <w:t>本单位的</w:t>
            </w:r>
            <w:r>
              <w:rPr>
                <w:rFonts w:hint="eastAsia" w:ascii="宋体" w:hAnsi="宋体"/>
                <w:color w:val="auto"/>
                <w:kern w:val="0"/>
                <w:szCs w:val="21"/>
              </w:rPr>
              <w:t>社保缴纳证明材料并加盖投标人公章，否则不得分。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559" w:type="dxa"/>
            <w:noWrap w:val="0"/>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Cs w:val="21"/>
                <w:lang w:bidi="ar"/>
              </w:rPr>
              <w:t>7</w:t>
            </w:r>
          </w:p>
        </w:tc>
        <w:tc>
          <w:tcPr>
            <w:tcW w:w="528" w:type="dxa"/>
            <w:noWrap w:val="0"/>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Cs w:val="21"/>
                <w:lang w:bidi="ar"/>
              </w:rPr>
              <w:t>3</w:t>
            </w:r>
          </w:p>
        </w:tc>
        <w:tc>
          <w:tcPr>
            <w:tcW w:w="7566" w:type="dxa"/>
            <w:noWrap w:val="0"/>
            <w:vAlign w:val="center"/>
          </w:tcPr>
          <w:p>
            <w:pPr>
              <w:widowControl/>
              <w:jc w:val="left"/>
              <w:rPr>
                <w:rFonts w:hint="eastAsia" w:ascii="宋体" w:hAnsi="宋体" w:eastAsia="宋体" w:cs="Times New Roman"/>
                <w:color w:val="auto"/>
                <w:kern w:val="0"/>
                <w:sz w:val="21"/>
                <w:szCs w:val="21"/>
                <w:highlight w:val="yellow"/>
                <w:lang w:val="en-US" w:eastAsia="zh-CN" w:bidi="ar-SA"/>
              </w:rPr>
            </w:pPr>
            <w:r>
              <w:rPr>
                <w:rFonts w:hint="eastAsia"/>
                <w:color w:val="auto"/>
              </w:rPr>
              <w:t>为保障更加契合养老相关业务优化完善需求，</w:t>
            </w:r>
            <w:r>
              <w:rPr>
                <w:color w:val="auto"/>
              </w:rPr>
              <w:t>投标人拟投入本项目的服务团队中具备</w:t>
            </w:r>
            <w:r>
              <w:rPr>
                <w:rFonts w:hint="eastAsia"/>
                <w:color w:val="auto"/>
              </w:rPr>
              <w:t>养老</w:t>
            </w:r>
            <w:r>
              <w:rPr>
                <w:color w:val="auto"/>
              </w:rPr>
              <w:t>服务能力</w:t>
            </w:r>
            <w:r>
              <w:rPr>
                <w:rFonts w:hint="eastAsia"/>
                <w:color w:val="auto"/>
              </w:rPr>
              <w:t>的人员每提供1</w:t>
            </w:r>
            <w:r>
              <w:rPr>
                <w:color w:val="auto"/>
              </w:rPr>
              <w:t>人得</w:t>
            </w:r>
            <w:r>
              <w:rPr>
                <w:rFonts w:hint="eastAsia"/>
                <w:color w:val="auto"/>
              </w:rPr>
              <w:t>1</w:t>
            </w:r>
            <w:r>
              <w:rPr>
                <w:color w:val="auto"/>
              </w:rPr>
              <w:t>分</w:t>
            </w:r>
            <w:r>
              <w:rPr>
                <w:rFonts w:hint="eastAsia"/>
                <w:color w:val="auto"/>
              </w:rPr>
              <w:t>，满分3分</w:t>
            </w:r>
            <w:r>
              <w:rPr>
                <w:color w:val="auto"/>
              </w:rPr>
              <w:t>。须提供老年人能力评估师、</w:t>
            </w:r>
            <w:r>
              <w:rPr>
                <w:rFonts w:hint="eastAsia"/>
                <w:color w:val="auto"/>
              </w:rPr>
              <w:t>老年人护理员（技能中级以上）</w:t>
            </w:r>
            <w:r>
              <w:rPr>
                <w:color w:val="auto"/>
              </w:rPr>
              <w:t>等相关证书复印件及近三个月本单位的社保缴纳证明材料并加盖投标人公章，否则不得分。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559" w:type="dxa"/>
            <w:noWrap w:val="0"/>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Cs w:val="21"/>
                <w:lang w:bidi="ar"/>
              </w:rPr>
              <w:t>8</w:t>
            </w:r>
          </w:p>
        </w:tc>
        <w:tc>
          <w:tcPr>
            <w:tcW w:w="528" w:type="dxa"/>
            <w:noWrap w:val="0"/>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Cs w:val="21"/>
                <w:lang w:bidi="ar"/>
              </w:rPr>
              <w:t>3</w:t>
            </w:r>
          </w:p>
        </w:tc>
        <w:tc>
          <w:tcPr>
            <w:tcW w:w="7566" w:type="dxa"/>
            <w:noWrap w:val="0"/>
            <w:vAlign w:val="center"/>
          </w:tcPr>
          <w:p>
            <w:pPr>
              <w:widowControl/>
              <w:jc w:val="left"/>
              <w:rPr>
                <w:rFonts w:hint="eastAsia" w:ascii="宋体" w:hAnsi="宋体" w:eastAsia="宋体" w:cs="Times New Roman"/>
                <w:color w:val="auto"/>
                <w:kern w:val="0"/>
                <w:sz w:val="21"/>
                <w:szCs w:val="21"/>
                <w:lang w:val="en-US" w:eastAsia="zh-CN" w:bidi="ar-SA"/>
              </w:rPr>
            </w:pPr>
            <w:r>
              <w:rPr>
                <w:rFonts w:hint="eastAsia" w:ascii="宋体" w:hAnsi="宋体"/>
                <w:color w:val="auto"/>
                <w:kern w:val="0"/>
                <w:szCs w:val="21"/>
              </w:rPr>
              <w:t>根据供应商提供的项目培训方案进行评议。</w:t>
            </w:r>
            <w:r>
              <w:rPr>
                <w:rFonts w:hint="eastAsia" w:ascii="宋体" w:hAnsi="宋体" w:cs="宋体"/>
                <w:color w:val="auto"/>
                <w:kern w:val="0"/>
                <w:szCs w:val="21"/>
              </w:rPr>
              <w:t>①</w:t>
            </w:r>
            <w:r>
              <w:rPr>
                <w:rFonts w:hint="eastAsia" w:ascii="宋体" w:hAnsi="宋体"/>
                <w:color w:val="auto"/>
                <w:kern w:val="0"/>
                <w:szCs w:val="21"/>
              </w:rPr>
              <w:t>方案包含有培训目标、培训内容、培训方式</w:t>
            </w:r>
            <w:r>
              <w:rPr>
                <w:rFonts w:hint="eastAsia" w:ascii="宋体" w:hAnsi="宋体" w:cs="宋体"/>
                <w:color w:val="auto"/>
                <w:kern w:val="0"/>
                <w:szCs w:val="21"/>
              </w:rPr>
              <w:t>等内容且内容设计清晰、执行性强的、有利于项目实施的得</w:t>
            </w:r>
            <w:r>
              <w:rPr>
                <w:rFonts w:ascii="宋体" w:hAnsi="宋体" w:cs="宋体"/>
                <w:color w:val="auto"/>
                <w:kern w:val="0"/>
                <w:szCs w:val="21"/>
              </w:rPr>
              <w:t>3</w:t>
            </w:r>
            <w:r>
              <w:rPr>
                <w:rFonts w:hint="eastAsia" w:ascii="宋体" w:hAnsi="宋体" w:cs="宋体"/>
                <w:color w:val="auto"/>
                <w:kern w:val="0"/>
                <w:szCs w:val="21"/>
              </w:rPr>
              <w:t xml:space="preserve">分。② </w:t>
            </w:r>
            <w:r>
              <w:rPr>
                <w:rFonts w:ascii="宋体" w:hAnsi="宋体" w:cs="宋体"/>
                <w:bCs/>
                <w:color w:val="auto"/>
                <w:kern w:val="0"/>
                <w:szCs w:val="21"/>
              </w:rPr>
              <w:t>方案基本完整</w:t>
            </w:r>
            <w:r>
              <w:rPr>
                <w:rFonts w:hint="eastAsia" w:ascii="宋体" w:hAnsi="宋体" w:cs="宋体"/>
                <w:color w:val="auto"/>
                <w:kern w:val="0"/>
                <w:szCs w:val="21"/>
              </w:rPr>
              <w:t>、</w:t>
            </w:r>
            <w:r>
              <w:rPr>
                <w:rFonts w:ascii="宋体" w:hAnsi="宋体" w:cs="宋体"/>
                <w:bCs/>
                <w:color w:val="auto"/>
                <w:kern w:val="0"/>
                <w:szCs w:val="21"/>
              </w:rPr>
              <w:t>可操作性一般</w:t>
            </w:r>
            <w:r>
              <w:rPr>
                <w:rFonts w:hint="eastAsia" w:ascii="宋体" w:hAnsi="宋体" w:cs="宋体"/>
                <w:color w:val="auto"/>
                <w:kern w:val="0"/>
                <w:szCs w:val="21"/>
              </w:rPr>
              <w:t>的得</w:t>
            </w:r>
            <w:r>
              <w:rPr>
                <w:rFonts w:ascii="宋体" w:hAnsi="宋体" w:cs="宋体"/>
                <w:color w:val="auto"/>
                <w:kern w:val="0"/>
                <w:szCs w:val="21"/>
              </w:rPr>
              <w:t>2</w:t>
            </w:r>
            <w:r>
              <w:rPr>
                <w:rFonts w:hint="eastAsia" w:ascii="宋体" w:hAnsi="宋体" w:cs="宋体"/>
                <w:color w:val="auto"/>
                <w:kern w:val="0"/>
                <w:szCs w:val="21"/>
              </w:rPr>
              <w:t>分；③</w:t>
            </w:r>
            <w:r>
              <w:rPr>
                <w:rFonts w:ascii="宋体" w:hAnsi="宋体" w:cs="宋体"/>
                <w:color w:val="auto"/>
                <w:kern w:val="0"/>
                <w:szCs w:val="21"/>
              </w:rPr>
              <w:t>方案不完整</w:t>
            </w:r>
            <w:r>
              <w:rPr>
                <w:rFonts w:hint="eastAsia" w:ascii="宋体" w:hAnsi="宋体" w:cs="宋体"/>
                <w:bCs/>
                <w:color w:val="auto"/>
                <w:kern w:val="0"/>
                <w:szCs w:val="21"/>
              </w:rPr>
              <w:t>、</w:t>
            </w:r>
            <w:r>
              <w:rPr>
                <w:rFonts w:ascii="宋体" w:hAnsi="宋体" w:cs="宋体"/>
                <w:color w:val="auto"/>
                <w:kern w:val="0"/>
                <w:szCs w:val="21"/>
              </w:rPr>
              <w:t>可操作性弱</w:t>
            </w:r>
            <w:r>
              <w:rPr>
                <w:rFonts w:hint="eastAsia" w:ascii="宋体" w:hAnsi="宋体" w:cs="宋体"/>
                <w:color w:val="auto"/>
                <w:kern w:val="0"/>
                <w:szCs w:val="21"/>
              </w:rPr>
              <w:t>的得</w:t>
            </w:r>
            <w:r>
              <w:rPr>
                <w:rFonts w:ascii="宋体" w:hAnsi="宋体" w:cs="宋体"/>
                <w:color w:val="auto"/>
                <w:kern w:val="0"/>
                <w:szCs w:val="21"/>
              </w:rPr>
              <w:t>1</w:t>
            </w:r>
            <w:r>
              <w:rPr>
                <w:rFonts w:hint="eastAsia" w:ascii="宋体" w:hAnsi="宋体" w:cs="宋体"/>
                <w:color w:val="auto"/>
                <w:kern w:val="0"/>
                <w:szCs w:val="21"/>
              </w:rPr>
              <w:t>分；未提供或内容不符合要求的不得分。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jc w:val="center"/>
        </w:trPr>
        <w:tc>
          <w:tcPr>
            <w:tcW w:w="559" w:type="dxa"/>
            <w:noWrap w:val="0"/>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Cs w:val="21"/>
                <w:lang w:bidi="ar"/>
              </w:rPr>
              <w:t>9</w:t>
            </w:r>
          </w:p>
        </w:tc>
        <w:tc>
          <w:tcPr>
            <w:tcW w:w="528" w:type="dxa"/>
            <w:noWrap w:val="0"/>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Cs w:val="21"/>
                <w:lang w:bidi="ar"/>
              </w:rPr>
              <w:t>3</w:t>
            </w:r>
          </w:p>
        </w:tc>
        <w:tc>
          <w:tcPr>
            <w:tcW w:w="7566" w:type="dxa"/>
            <w:noWrap w:val="0"/>
            <w:vAlign w:val="center"/>
          </w:tcPr>
          <w:p>
            <w:pPr>
              <w:widowControl/>
              <w:jc w:val="left"/>
              <w:rPr>
                <w:rFonts w:hint="eastAsia" w:ascii="宋体" w:hAnsi="宋体" w:eastAsia="宋体" w:cs="Times New Roman"/>
                <w:color w:val="auto"/>
                <w:kern w:val="0"/>
                <w:sz w:val="21"/>
                <w:szCs w:val="21"/>
                <w:lang w:val="en-US" w:eastAsia="zh-CN" w:bidi="ar-SA"/>
              </w:rPr>
            </w:pPr>
            <w:r>
              <w:rPr>
                <w:rFonts w:hint="eastAsia" w:ascii="宋体" w:hAnsi="宋体"/>
                <w:color w:val="auto"/>
                <w:kern w:val="0"/>
                <w:szCs w:val="21"/>
              </w:rPr>
              <w:t>根据投标人提供的售后服务方案进行评议。</w:t>
            </w:r>
            <w:r>
              <w:rPr>
                <w:rFonts w:hint="eastAsia" w:ascii="宋体" w:hAnsi="宋体" w:cs="宋体"/>
                <w:color w:val="auto"/>
                <w:kern w:val="0"/>
                <w:szCs w:val="21"/>
              </w:rPr>
              <w:t>①</w:t>
            </w:r>
            <w:r>
              <w:rPr>
                <w:rFonts w:hint="eastAsia" w:ascii="宋体" w:hAnsi="宋体"/>
                <w:color w:val="auto"/>
                <w:kern w:val="0"/>
                <w:szCs w:val="21"/>
              </w:rPr>
              <w:t>方案包含有</w:t>
            </w:r>
            <w:r>
              <w:rPr>
                <w:rFonts w:hint="eastAsia" w:ascii="宋体" w:hAnsi="宋体"/>
                <w:color w:val="auto"/>
                <w:kern w:val="0"/>
                <w:szCs w:val="21"/>
                <w:lang w:eastAsia="zh-CN"/>
              </w:rPr>
              <w:t>服务</w:t>
            </w:r>
            <w:r>
              <w:rPr>
                <w:rFonts w:hint="eastAsia" w:ascii="宋体" w:hAnsi="宋体"/>
                <w:color w:val="auto"/>
                <w:kern w:val="0"/>
                <w:szCs w:val="21"/>
              </w:rPr>
              <w:t>目标、</w:t>
            </w:r>
            <w:r>
              <w:rPr>
                <w:rFonts w:hint="eastAsia" w:ascii="宋体" w:hAnsi="宋体"/>
                <w:color w:val="auto"/>
                <w:kern w:val="0"/>
                <w:szCs w:val="21"/>
                <w:lang w:eastAsia="zh-CN"/>
              </w:rPr>
              <w:t>服务</w:t>
            </w:r>
            <w:r>
              <w:rPr>
                <w:rFonts w:hint="eastAsia" w:ascii="宋体" w:hAnsi="宋体"/>
                <w:color w:val="auto"/>
                <w:kern w:val="0"/>
                <w:szCs w:val="21"/>
              </w:rPr>
              <w:t>内容、</w:t>
            </w:r>
            <w:r>
              <w:rPr>
                <w:rFonts w:hint="eastAsia" w:ascii="宋体" w:hAnsi="宋体"/>
                <w:color w:val="auto"/>
                <w:kern w:val="0"/>
                <w:szCs w:val="21"/>
                <w:lang w:eastAsia="zh-CN"/>
              </w:rPr>
              <w:t>服务</w:t>
            </w:r>
            <w:r>
              <w:rPr>
                <w:rFonts w:hint="eastAsia" w:ascii="宋体" w:hAnsi="宋体"/>
                <w:color w:val="auto"/>
                <w:kern w:val="0"/>
                <w:szCs w:val="21"/>
              </w:rPr>
              <w:t>方式</w:t>
            </w:r>
            <w:r>
              <w:rPr>
                <w:rFonts w:hint="eastAsia" w:ascii="宋体" w:hAnsi="宋体" w:cs="宋体"/>
                <w:color w:val="auto"/>
                <w:kern w:val="0"/>
                <w:szCs w:val="21"/>
              </w:rPr>
              <w:t>等内容且内容设计清晰、执行性强的、有利于项目实施的得</w:t>
            </w:r>
            <w:r>
              <w:rPr>
                <w:rFonts w:ascii="宋体" w:hAnsi="宋体" w:cs="宋体"/>
                <w:color w:val="auto"/>
                <w:kern w:val="0"/>
                <w:szCs w:val="21"/>
              </w:rPr>
              <w:t>3</w:t>
            </w:r>
            <w:r>
              <w:rPr>
                <w:rFonts w:hint="eastAsia" w:ascii="宋体" w:hAnsi="宋体" w:cs="宋体"/>
                <w:color w:val="auto"/>
                <w:kern w:val="0"/>
                <w:szCs w:val="21"/>
              </w:rPr>
              <w:t xml:space="preserve">分。② </w:t>
            </w:r>
            <w:r>
              <w:rPr>
                <w:rFonts w:ascii="宋体" w:hAnsi="宋体" w:cs="宋体"/>
                <w:bCs/>
                <w:color w:val="auto"/>
                <w:kern w:val="0"/>
                <w:szCs w:val="21"/>
              </w:rPr>
              <w:t>方案基本完整</w:t>
            </w:r>
            <w:r>
              <w:rPr>
                <w:rFonts w:hint="eastAsia" w:ascii="宋体" w:hAnsi="宋体" w:cs="宋体"/>
                <w:color w:val="auto"/>
                <w:kern w:val="0"/>
                <w:szCs w:val="21"/>
              </w:rPr>
              <w:t>、</w:t>
            </w:r>
            <w:r>
              <w:rPr>
                <w:rFonts w:ascii="宋体" w:hAnsi="宋体" w:cs="宋体"/>
                <w:bCs/>
                <w:color w:val="auto"/>
                <w:kern w:val="0"/>
                <w:szCs w:val="21"/>
              </w:rPr>
              <w:t>可操作性一般</w:t>
            </w:r>
            <w:r>
              <w:rPr>
                <w:rFonts w:hint="eastAsia" w:ascii="宋体" w:hAnsi="宋体" w:cs="宋体"/>
                <w:color w:val="auto"/>
                <w:kern w:val="0"/>
                <w:szCs w:val="21"/>
              </w:rPr>
              <w:t>的得</w:t>
            </w:r>
            <w:r>
              <w:rPr>
                <w:rFonts w:ascii="宋体" w:hAnsi="宋体" w:cs="宋体"/>
                <w:color w:val="auto"/>
                <w:kern w:val="0"/>
                <w:szCs w:val="21"/>
              </w:rPr>
              <w:t>2</w:t>
            </w:r>
            <w:r>
              <w:rPr>
                <w:rFonts w:hint="eastAsia" w:ascii="宋体" w:hAnsi="宋体" w:cs="宋体"/>
                <w:color w:val="auto"/>
                <w:kern w:val="0"/>
                <w:szCs w:val="21"/>
              </w:rPr>
              <w:t>分；③</w:t>
            </w:r>
            <w:r>
              <w:rPr>
                <w:rFonts w:ascii="宋体" w:hAnsi="宋体" w:cs="宋体"/>
                <w:color w:val="auto"/>
                <w:kern w:val="0"/>
                <w:szCs w:val="21"/>
              </w:rPr>
              <w:t>方案不完整</w:t>
            </w:r>
            <w:r>
              <w:rPr>
                <w:rFonts w:hint="eastAsia" w:ascii="宋体" w:hAnsi="宋体" w:cs="宋体"/>
                <w:bCs/>
                <w:color w:val="auto"/>
                <w:kern w:val="0"/>
                <w:szCs w:val="21"/>
              </w:rPr>
              <w:t>、</w:t>
            </w:r>
            <w:r>
              <w:rPr>
                <w:rFonts w:ascii="宋体" w:hAnsi="宋体" w:cs="宋体"/>
                <w:color w:val="auto"/>
                <w:kern w:val="0"/>
                <w:szCs w:val="21"/>
              </w:rPr>
              <w:t>可操作性弱</w:t>
            </w:r>
            <w:r>
              <w:rPr>
                <w:rFonts w:hint="eastAsia" w:ascii="宋体" w:hAnsi="宋体" w:cs="宋体"/>
                <w:color w:val="auto"/>
                <w:kern w:val="0"/>
                <w:szCs w:val="21"/>
              </w:rPr>
              <w:t>的得</w:t>
            </w:r>
            <w:r>
              <w:rPr>
                <w:rFonts w:ascii="宋体" w:hAnsi="宋体" w:cs="宋体"/>
                <w:color w:val="auto"/>
                <w:kern w:val="0"/>
                <w:szCs w:val="21"/>
              </w:rPr>
              <w:t>1</w:t>
            </w:r>
            <w:r>
              <w:rPr>
                <w:rFonts w:hint="eastAsia" w:ascii="宋体" w:hAnsi="宋体" w:cs="宋体"/>
                <w:color w:val="auto"/>
                <w:kern w:val="0"/>
                <w:szCs w:val="21"/>
              </w:rPr>
              <w:t>分；未提供或内容不符合要求的不得分。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atLeast"/>
          <w:jc w:val="center"/>
        </w:trPr>
        <w:tc>
          <w:tcPr>
            <w:tcW w:w="559" w:type="dxa"/>
            <w:noWrap w:val="0"/>
            <w:vAlign w:val="center"/>
          </w:tcPr>
          <w:p>
            <w:pPr>
              <w:keepNext w:val="0"/>
              <w:keepLines w:val="0"/>
              <w:widowControl/>
              <w:suppressLineNumbers w:val="0"/>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10</w:t>
            </w:r>
          </w:p>
        </w:tc>
        <w:tc>
          <w:tcPr>
            <w:tcW w:w="528" w:type="dxa"/>
            <w:noWrap w:val="0"/>
            <w:vAlign w:val="center"/>
          </w:tcPr>
          <w:p>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w:t>
            </w:r>
          </w:p>
        </w:tc>
        <w:tc>
          <w:tcPr>
            <w:tcW w:w="7566" w:type="dxa"/>
            <w:noWrap w:val="0"/>
            <w:vAlign w:val="center"/>
          </w:tcPr>
          <w:p>
            <w:pPr>
              <w:keepNext w:val="0"/>
              <w:keepLines w:val="0"/>
              <w:widowControl/>
              <w:suppressLineNumbers w:val="0"/>
              <w:jc w:val="left"/>
              <w:rPr>
                <w:rFonts w:hint="eastAsia" w:ascii="宋体" w:hAnsi="宋体"/>
                <w:color w:val="auto"/>
                <w:kern w:val="0"/>
                <w:szCs w:val="21"/>
                <w:lang w:val="en-US" w:eastAsia="zh-CN"/>
              </w:rPr>
            </w:pPr>
            <w:r>
              <w:rPr>
                <w:rFonts w:hint="eastAsia" w:ascii="宋体" w:hAnsi="宋体"/>
                <w:color w:val="auto"/>
                <w:kern w:val="0"/>
                <w:szCs w:val="21"/>
                <w:lang w:val="en-US" w:eastAsia="zh-CN"/>
              </w:rPr>
              <w:t>投标人可提供厦门本地化服务的得3分，否则不得分。投标人可提供合作单位协议或者自身机构的营业执照证明，也可以提供在本地设立的项目部、办公室、办事处等机构证明，或者承诺中标后提供本地化服务。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59" w:type="dxa"/>
            <w:noWrap w:val="0"/>
            <w:vAlign w:val="center"/>
          </w:tcPr>
          <w:p>
            <w:pPr>
              <w:keepNext w:val="0"/>
              <w:keepLines w:val="0"/>
              <w:widowControl/>
              <w:suppressLineNumbers w:val="0"/>
              <w:jc w:val="center"/>
              <w:rPr>
                <w:rFonts w:hint="default" w:ascii="宋体" w:hAnsi="宋体" w:eastAsia="宋体" w:cs="宋体"/>
                <w:i w:val="0"/>
                <w:iCs w:val="0"/>
                <w:color w:val="auto"/>
                <w:kern w:val="0"/>
                <w:sz w:val="21"/>
                <w:szCs w:val="21"/>
                <w:lang w:val="en-US" w:eastAsia="zh-CN" w:bidi="ar"/>
              </w:rPr>
            </w:pPr>
            <w:r>
              <w:rPr>
                <w:rFonts w:hint="eastAsia" w:ascii="宋体" w:hAnsi="宋体" w:eastAsia="宋体" w:cs="宋体"/>
                <w:i w:val="0"/>
                <w:iCs w:val="0"/>
                <w:color w:val="auto"/>
                <w:kern w:val="0"/>
                <w:sz w:val="21"/>
                <w:szCs w:val="21"/>
                <w:lang w:val="en-US" w:eastAsia="zh-CN" w:bidi="ar"/>
              </w:rPr>
              <w:t>11</w:t>
            </w:r>
          </w:p>
        </w:tc>
        <w:tc>
          <w:tcPr>
            <w:tcW w:w="528" w:type="dxa"/>
            <w:noWrap w:val="0"/>
            <w:vAlign w:val="center"/>
          </w:tcPr>
          <w:p>
            <w:pPr>
              <w:keepNext w:val="0"/>
              <w:keepLines w:val="0"/>
              <w:widowControl/>
              <w:suppressLineNumbers w:val="0"/>
              <w:jc w:val="center"/>
              <w:rPr>
                <w:rFonts w:hint="default" w:ascii="宋体" w:hAnsi="宋体" w:eastAsia="宋体" w:cs="宋体"/>
                <w:i w:val="0"/>
                <w:iCs w:val="0"/>
                <w:color w:val="auto"/>
                <w:kern w:val="0"/>
                <w:sz w:val="21"/>
                <w:szCs w:val="21"/>
                <w:lang w:val="en-US" w:eastAsia="zh-CN" w:bidi="ar"/>
              </w:rPr>
            </w:pPr>
            <w:r>
              <w:rPr>
                <w:rFonts w:hint="eastAsia" w:ascii="宋体" w:hAnsi="宋体" w:eastAsia="宋体" w:cs="宋体"/>
                <w:i w:val="0"/>
                <w:iCs w:val="0"/>
                <w:color w:val="auto"/>
                <w:kern w:val="0"/>
                <w:sz w:val="21"/>
                <w:szCs w:val="21"/>
                <w:lang w:val="en-US" w:eastAsia="zh-CN" w:bidi="ar"/>
              </w:rPr>
              <w:t>3</w:t>
            </w:r>
          </w:p>
        </w:tc>
        <w:tc>
          <w:tcPr>
            <w:tcW w:w="7566" w:type="dxa"/>
            <w:noWrap w:val="0"/>
            <w:vAlign w:val="center"/>
          </w:tcPr>
          <w:p>
            <w:pPr>
              <w:keepNext w:val="0"/>
              <w:keepLines w:val="0"/>
              <w:widowControl/>
              <w:suppressLineNumbers w:val="0"/>
              <w:jc w:val="left"/>
              <w:rPr>
                <w:rFonts w:hint="eastAsia" w:ascii="宋体" w:hAnsi="宋体"/>
                <w:i w:val="0"/>
                <w:iCs w:val="0"/>
                <w:color w:val="auto"/>
                <w:kern w:val="0"/>
                <w:szCs w:val="21"/>
                <w:lang w:val="en-US" w:eastAsia="zh-CN"/>
              </w:rPr>
            </w:pPr>
            <w:r>
              <w:rPr>
                <w:rFonts w:hint="eastAsia" w:ascii="宋体" w:hAnsi="宋体"/>
                <w:i w:val="0"/>
                <w:iCs w:val="0"/>
                <w:color w:val="auto"/>
                <w:kern w:val="0"/>
                <w:szCs w:val="21"/>
                <w:lang w:val="en-US" w:eastAsia="zh-CN"/>
              </w:rPr>
              <w:t>投标人承诺严格管理开发团队人员对各项民政数据的使用，确保民政相关敏感数据信息不泄露的得3分，投标人需提供书面承诺函，否则不得分。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jc w:val="center"/>
        </w:trPr>
        <w:tc>
          <w:tcPr>
            <w:tcW w:w="559" w:type="dxa"/>
            <w:noWrap w:val="0"/>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12</w:t>
            </w:r>
          </w:p>
        </w:tc>
        <w:tc>
          <w:tcPr>
            <w:tcW w:w="528" w:type="dxa"/>
            <w:noWrap w:val="0"/>
            <w:vAlign w:val="center"/>
          </w:tcPr>
          <w:p>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7566" w:type="dxa"/>
            <w:noWrap w:val="0"/>
            <w:vAlign w:val="center"/>
          </w:tcPr>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olor w:val="auto"/>
                <w:kern w:val="0"/>
                <w:szCs w:val="21"/>
                <w:highlight w:val="none"/>
                <w:lang w:val="en-US" w:eastAsia="zh-CN"/>
              </w:rPr>
              <w:t>根据投标人提供的2022年1月1日至今（以合同签订时间为准），投标人已完成或正在服务的民政信息化服务进行评价，每提供１份得2分，满分2分。投标人应同时提供该项目的1.中标通知书复印件2.采购合同文本复印件3.证明项目正常运行的相关文件复印件。评委会将保留要求投标人提供原件核查的权利。未提供完整证明文件复印件的不得分.评标过程中如发现填报不实，本项不得分。</w:t>
            </w:r>
          </w:p>
        </w:tc>
      </w:tr>
    </w:tbl>
    <w:p>
      <w:pPr>
        <w:widowControl/>
        <w:spacing w:line="360" w:lineRule="auto"/>
        <w:ind w:firstLine="481" w:firstLineChars="200"/>
        <w:jc w:val="left"/>
        <w:rPr>
          <w:rFonts w:cs="宋体" w:asciiTheme="minorEastAsia" w:hAnsiTheme="minorEastAsia" w:eastAsiaTheme="minorEastAsia"/>
          <w:b/>
          <w:bCs/>
          <w:color w:val="auto"/>
          <w:kern w:val="0"/>
          <w:sz w:val="24"/>
          <w:highlight w:val="none"/>
        </w:rPr>
      </w:pPr>
      <w:r>
        <w:rPr>
          <w:rFonts w:cs="宋体" w:asciiTheme="minorEastAsia" w:hAnsiTheme="minorEastAsia" w:eastAsiaTheme="minorEastAsia"/>
          <w:b/>
          <w:bCs/>
          <w:color w:val="auto"/>
          <w:kern w:val="0"/>
          <w:sz w:val="24"/>
          <w:highlight w:val="none"/>
        </w:rPr>
        <w:t>（三）报价部分评分</w:t>
      </w:r>
      <w:r>
        <w:rPr>
          <w:rFonts w:hint="eastAsia" w:cs="宋体" w:asciiTheme="minorEastAsia" w:hAnsiTheme="minorEastAsia" w:eastAsiaTheme="minorEastAsia"/>
          <w:b/>
          <w:bCs/>
          <w:color w:val="auto"/>
          <w:kern w:val="0"/>
          <w:sz w:val="24"/>
          <w:highlight w:val="none"/>
        </w:rPr>
        <w:t>F1：</w:t>
      </w:r>
      <w:r>
        <w:rPr>
          <w:rFonts w:cs="宋体" w:asciiTheme="minorEastAsia" w:hAnsiTheme="minorEastAsia" w:eastAsiaTheme="minorEastAsia"/>
          <w:b/>
          <w:bCs/>
          <w:color w:val="auto"/>
          <w:kern w:val="0"/>
          <w:sz w:val="24"/>
          <w:highlight w:val="none"/>
        </w:rPr>
        <w:t>满分</w:t>
      </w:r>
      <w:r>
        <w:rPr>
          <w:rFonts w:hint="eastAsia" w:cs="宋体" w:asciiTheme="minorEastAsia" w:hAnsiTheme="minorEastAsia" w:eastAsiaTheme="minorEastAsia"/>
          <w:b/>
          <w:bCs/>
          <w:color w:val="auto"/>
          <w:kern w:val="0"/>
          <w:sz w:val="24"/>
          <w:highlight w:val="none"/>
          <w:u w:val="single"/>
          <w:lang w:val="en-US" w:eastAsia="zh-CN"/>
        </w:rPr>
        <w:t>10</w:t>
      </w:r>
      <w:r>
        <w:rPr>
          <w:rFonts w:cs="宋体" w:asciiTheme="minorEastAsia" w:hAnsiTheme="minorEastAsia" w:eastAsiaTheme="minorEastAsia"/>
          <w:b/>
          <w:bCs/>
          <w:color w:val="auto"/>
          <w:kern w:val="0"/>
          <w:sz w:val="24"/>
          <w:highlight w:val="none"/>
        </w:rPr>
        <w:t>分</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a.价格分采用低价优先法计算，即满足磋商文件要求且最后报价最低的供应商的价格为磋商基准价，其价格分为满分。其他供应商的价格分统一按照下列公式计算：磋商报价得分=（磋商基准价／最后磋商报价）×满分值。因落实优惠政策需进行价格扣除的，以扣除后的价格计算磋商基准价和最后磋商报价。</w:t>
      </w:r>
    </w:p>
    <w:p>
      <w:pPr>
        <w:widowControl/>
        <w:spacing w:line="360" w:lineRule="auto"/>
        <w:ind w:firstLine="481" w:firstLineChars="200"/>
        <w:jc w:val="left"/>
        <w:rPr>
          <w:rFonts w:cs="宋体" w:asciiTheme="minorEastAsia" w:hAnsiTheme="minorEastAsia" w:eastAsiaTheme="minorEastAsia"/>
          <w:b/>
          <w:bCs/>
          <w:color w:val="auto"/>
          <w:kern w:val="0"/>
          <w:sz w:val="24"/>
          <w:highlight w:val="none"/>
        </w:rPr>
      </w:pPr>
      <w:r>
        <w:rPr>
          <w:rFonts w:cs="宋体" w:asciiTheme="minorEastAsia" w:hAnsiTheme="minorEastAsia" w:eastAsiaTheme="minorEastAsia"/>
          <w:b/>
          <w:bCs/>
          <w:color w:val="auto"/>
          <w:kern w:val="0"/>
          <w:sz w:val="24"/>
          <w:highlight w:val="none"/>
        </w:rPr>
        <w:t>（</w:t>
      </w:r>
      <w:r>
        <w:rPr>
          <w:rFonts w:hint="eastAsia" w:cs="宋体" w:asciiTheme="minorEastAsia" w:hAnsiTheme="minorEastAsia" w:eastAsiaTheme="minorEastAsia"/>
          <w:b/>
          <w:bCs/>
          <w:color w:val="auto"/>
          <w:kern w:val="0"/>
          <w:sz w:val="24"/>
          <w:highlight w:val="none"/>
          <w:lang w:eastAsia="zh-CN"/>
        </w:rPr>
        <w:t>四</w:t>
      </w:r>
      <w:r>
        <w:rPr>
          <w:rFonts w:cs="宋体" w:asciiTheme="minorEastAsia" w:hAnsiTheme="minorEastAsia" w:eastAsiaTheme="minorEastAsia"/>
          <w:b/>
          <w:bCs/>
          <w:color w:val="auto"/>
          <w:kern w:val="0"/>
          <w:sz w:val="24"/>
          <w:highlight w:val="none"/>
        </w:rPr>
        <w:t>）价格扣除部分</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Calibri" w:asciiTheme="minorEastAsia" w:hAnsiTheme="minorEastAsia" w:eastAsiaTheme="minorEastAsia"/>
          <w:color w:val="auto"/>
          <w:kern w:val="0"/>
          <w:sz w:val="24"/>
          <w:highlight w:val="none"/>
        </w:rPr>
        <w:t>小型、微型企业产品、监狱企业产品、残疾人福利性单位产品的价格扣除办法详见第二章。</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（4）成交候选供应商排列规则顺序和并列相同时的处理约定如下：</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a.成交候选供应商按照综合评审总得分（FA）由高到低顺序排列推荐。</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b.综合评审总得分（FA）相同的，按照经评审最后磋商报价（即经优惠政策进行价格扣除后的最后报价）由低到高顺序推荐。</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c.综合评审总得分（FA）且经评审最后磋商报价（即经优惠政策进行价格扣除后的最后报价）仍然相同的，按照最后报价</w:t>
      </w:r>
      <w:r>
        <w:rPr>
          <w:rFonts w:hint="eastAsia" w:cs="宋体" w:asciiTheme="minorEastAsia" w:hAnsiTheme="minorEastAsia" w:eastAsiaTheme="minorEastAsia"/>
          <w:color w:val="auto"/>
          <w:kern w:val="0"/>
          <w:sz w:val="24"/>
          <w:highlight w:val="none"/>
        </w:rPr>
        <w:t>由低到高顺序推荐。</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d.综合评审总得分（FA）且经评审最后磋商报价（即经优惠政策进行价格扣除后的最后报价）、最后报价仍然相同的，按照</w:t>
      </w:r>
      <w:r>
        <w:rPr>
          <w:rFonts w:cs="宋体" w:asciiTheme="minorEastAsia" w:hAnsiTheme="minorEastAsia" w:eastAsiaTheme="minorEastAsia"/>
          <w:color w:val="auto"/>
          <w:kern w:val="0"/>
          <w:sz w:val="24"/>
          <w:highlight w:val="none"/>
        </w:rPr>
        <w:t>技术指标优劣顺序推荐。</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e</w:t>
      </w:r>
      <w:r>
        <w:rPr>
          <w:rFonts w:cs="宋体" w:asciiTheme="minorEastAsia" w:hAnsiTheme="minorEastAsia" w:eastAsiaTheme="minorEastAsia"/>
          <w:color w:val="auto"/>
          <w:kern w:val="0"/>
          <w:sz w:val="24"/>
          <w:highlight w:val="none"/>
        </w:rPr>
        <w:t>.经前述顺序处理仍然并列相同的，则通过随机抽取方式确定优先顺序推荐。</w:t>
      </w:r>
    </w:p>
    <w:p>
      <w:pPr>
        <w:widowControl/>
        <w:spacing w:beforeLines="50" w:afterLines="50" w:line="360" w:lineRule="auto"/>
        <w:jc w:val="center"/>
        <w:rPr>
          <w:rFonts w:ascii="宋体" w:hAnsi="宋体" w:cs="宋体"/>
          <w:b/>
          <w:bCs/>
          <w:color w:val="auto"/>
          <w:kern w:val="0"/>
          <w:sz w:val="28"/>
          <w:szCs w:val="28"/>
          <w:highlight w:val="none"/>
        </w:rPr>
      </w:pPr>
      <w:r>
        <w:rPr>
          <w:rFonts w:ascii="宋体" w:hAnsi="宋体" w:cs="宋体"/>
          <w:b/>
          <w:bCs/>
          <w:color w:val="auto"/>
          <w:kern w:val="0"/>
          <w:sz w:val="28"/>
          <w:szCs w:val="28"/>
          <w:highlight w:val="none"/>
        </w:rPr>
        <w:t>四、评审报告</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4.1磋商小组完成评审后，应当编写评审报告并提交给采购人。</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4.2评审报告应当包括以下主要内容：</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（一）邀请供应商参加采购活动的具体方式和相关情况；</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（二）响应文件开启日期和地点；</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（三）获取磋商文件的供应商名单和磋商小组成员名单；</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（四）评审情况记录和说明，包括对供应商的资格审查情况、供应商响应文件评审情况、磋商情况、报价情况等；</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（五）提出的成交候选供应商的排序名单及理由。</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widowControl/>
        <w:spacing w:beforeLines="50" w:afterLines="50" w:line="360" w:lineRule="auto"/>
        <w:jc w:val="center"/>
        <w:rPr>
          <w:rFonts w:ascii="宋体" w:hAnsi="宋体" w:cs="宋体"/>
          <w:b/>
          <w:bCs/>
          <w:color w:val="auto"/>
          <w:kern w:val="0"/>
          <w:sz w:val="28"/>
          <w:szCs w:val="28"/>
          <w:highlight w:val="none"/>
        </w:rPr>
      </w:pPr>
      <w:r>
        <w:rPr>
          <w:rFonts w:ascii="宋体" w:hAnsi="宋体" w:cs="宋体"/>
          <w:b/>
          <w:bCs/>
          <w:color w:val="auto"/>
          <w:kern w:val="0"/>
          <w:sz w:val="28"/>
          <w:szCs w:val="28"/>
          <w:highlight w:val="none"/>
        </w:rPr>
        <w:t>五、其他规定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5.1其他规定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5.1.1评审应全程保密且不得透露给任一供应商或与评审工作无关的人员。</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5.1.2评审将进行全程实时录音录像，录音录像资料随采购文件一并存档。</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5.1.3若供应商有任何试图干扰具体评审事务，影响磋商小组独立履行职责的行为，其响应无效且不予退还磋商保证金。</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5.1.4根据采购项目的特点和需要，需要加以详细说明的其他磋商程序规定、要求等内容：</w:t>
      </w:r>
      <w:r>
        <w:rPr>
          <w:rFonts w:hint="eastAsia" w:cs="宋体" w:asciiTheme="minorEastAsia" w:hAnsiTheme="minorEastAsia" w:eastAsiaTheme="minorEastAsia"/>
          <w:color w:val="auto"/>
          <w:kern w:val="0"/>
          <w:sz w:val="24"/>
          <w:highlight w:val="none"/>
        </w:rPr>
        <w:t>在磋商过程中出现以下情况之一的，将视同放弃承诺及最后报价，磋商小组将按首次响应文件进行评审：</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（1）供应商代表未到现场的；</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（2）供应商代表未携带有效身份证原件等有效身份证明文件且其承诺和最后报价无法在规定时间内加盖公章的；</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（3）磋商结束前采购人无法联系到供应商代表且供应商未退出磋商的；</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（4）供应商退出磋商但未提交书面声明的；</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（5）磋商文件采购需求中的技术、服务要求以及合同草案条款无实质性变动但供应商的最后报价高于首次报价的（经磋商小组认定，首次报价存在明显错误的除外）。</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pPr>
        <w:widowControl/>
        <w:jc w:val="left"/>
        <w:rPr>
          <w:rFonts w:ascii="宋体" w:hAnsi="宋体" w:cs="宋体"/>
          <w:color w:val="auto"/>
          <w:kern w:val="0"/>
          <w:sz w:val="24"/>
          <w:highlight w:val="none"/>
        </w:rPr>
        <w:sectPr>
          <w:pgSz w:w="11906" w:h="16838"/>
          <w:pgMar w:top="1418" w:right="1418" w:bottom="1418" w:left="1418" w:header="851" w:footer="992" w:gutter="0"/>
          <w:pgNumType w:fmt="decimal"/>
          <w:cols w:space="720" w:num="1"/>
          <w:titlePg/>
          <w:docGrid w:linePitch="312" w:charSpace="0"/>
        </w:sectPr>
      </w:pPr>
    </w:p>
    <w:p>
      <w:pPr>
        <w:pStyle w:val="3"/>
        <w:spacing w:before="240" w:after="240"/>
        <w:rPr>
          <w:rFonts w:ascii="宋体" w:hAnsi="宋体"/>
          <w:color w:val="auto"/>
          <w:kern w:val="0"/>
          <w:sz w:val="24"/>
          <w:szCs w:val="24"/>
          <w:highlight w:val="none"/>
        </w:rPr>
      </w:pPr>
      <w:bookmarkStart w:id="4" w:name="_Toc77513639"/>
      <w:r>
        <w:rPr>
          <w:color w:val="auto"/>
          <w:kern w:val="0"/>
          <w:highlight w:val="none"/>
        </w:rPr>
        <w:t>第2节</w:t>
      </w:r>
      <w:r>
        <w:rPr>
          <w:rFonts w:hint="eastAsia"/>
          <w:color w:val="auto"/>
          <w:kern w:val="0"/>
          <w:highlight w:val="none"/>
        </w:rPr>
        <w:t xml:space="preserve">  </w:t>
      </w:r>
      <w:r>
        <w:rPr>
          <w:color w:val="auto"/>
          <w:kern w:val="0"/>
          <w:highlight w:val="none"/>
        </w:rPr>
        <w:t>竞争性磋商须知</w:t>
      </w:r>
      <w:bookmarkEnd w:id="4"/>
    </w:p>
    <w:p>
      <w:pPr>
        <w:pStyle w:val="4"/>
        <w:rPr>
          <w:color w:val="auto"/>
          <w:szCs w:val="24"/>
          <w:highlight w:val="none"/>
        </w:rPr>
      </w:pPr>
      <w:bookmarkStart w:id="5" w:name="_Toc77513640"/>
      <w:r>
        <w:rPr>
          <w:color w:val="auto"/>
          <w:szCs w:val="16"/>
          <w:highlight w:val="none"/>
        </w:rPr>
        <w:t>一、总则</w:t>
      </w:r>
      <w:bookmarkEnd w:id="5"/>
    </w:p>
    <w:p>
      <w:pPr>
        <w:widowControl/>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1.适用范围</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1.1适用于磋商文件载明项目的采购活动（以下简称：“本次采购活动”）。</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1.2本项目预算金额未达到政府采购限额标准（或非财政性资金），不属于政府采购；为明确采购流程及参与各方的权利和义务，参考政府采购法律法规开展自行采购活动。</w:t>
      </w:r>
    </w:p>
    <w:p>
      <w:pPr>
        <w:widowControl/>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2.定义及要求</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2.1“采购标的”指磋商文件载明的需要采购的货物、服务、工程。</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2.2“采购人”指本次采购项目的买方、或业主方、或甲方，具体见磋商文件第一章。</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2.3“潜在供应商”按照磋商文件第一章规定获取采购文件，且有意向参加本项目响应磋商的供应商。</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2.4“供应商”指按照磋商文件第一章规定获取采购文件，且已经提交响应文件的法人或其他组织或自然人。只有适合自然人参与和承接的采购项目，供应商才可以是自然人。</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2.5“单位负责人”指单位法定代表人（供应商为法人的）或法律、法规规定代表单位行使职权的主要负责人（供应商为其他组织的）。</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2.6“供应商代表”指供应商（为法人或其他组织的）的单位负责人或由其授权的委托代理人，即单位负责人授权书中载明的接受授权方。供应商为自然人的，由本人签字并附身份证明。</w:t>
      </w:r>
    </w:p>
    <w:p>
      <w:pPr>
        <w:widowControl/>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3.合格的</w:t>
      </w:r>
      <w:r>
        <w:rPr>
          <w:rFonts w:cs="宋体" w:asciiTheme="minorEastAsia" w:hAnsiTheme="minorEastAsia" w:eastAsiaTheme="minorEastAsia"/>
          <w:b/>
          <w:color w:val="auto"/>
          <w:kern w:val="0"/>
          <w:sz w:val="24"/>
          <w:highlight w:val="none"/>
        </w:rPr>
        <w:t>供应商</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3.1一般规定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3.1.1供应商应当遵守中国的有关法律、法规和规章的规定，主动回避相应利害关系。</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3.1.2为采购项目提供整体设计、规范编制或项目管理、监理、检测等服务的供应商，不得再参加该采购项目除整体设计、规范编制和项目管理、监理、检测等服务之外的其他采购活动</w:t>
      </w:r>
      <w:r>
        <w:rPr>
          <w:rFonts w:cs="宋体" w:asciiTheme="minorEastAsia" w:hAnsiTheme="minorEastAsia" w:eastAsiaTheme="minorEastAsia"/>
          <w:b/>
          <w:bCs/>
          <w:color w:val="auto"/>
          <w:kern w:val="0"/>
          <w:sz w:val="24"/>
          <w:highlight w:val="none"/>
        </w:rPr>
        <w:t>。</w:t>
      </w:r>
    </w:p>
    <w:p>
      <w:pPr>
        <w:widowControl/>
        <w:spacing w:line="360" w:lineRule="auto"/>
        <w:ind w:firstLine="481" w:firstLineChars="200"/>
        <w:jc w:val="left"/>
        <w:rPr>
          <w:rFonts w:cs="宋体" w:asciiTheme="minorEastAsia" w:hAnsiTheme="minorEastAsia" w:eastAsiaTheme="minorEastAsia"/>
          <w:b/>
          <w:bCs/>
          <w:color w:val="auto"/>
          <w:kern w:val="0"/>
          <w:sz w:val="24"/>
          <w:highlight w:val="none"/>
        </w:rPr>
      </w:pPr>
      <w:r>
        <w:rPr>
          <w:rFonts w:cs="宋体" w:asciiTheme="minorEastAsia" w:hAnsiTheme="minorEastAsia" w:eastAsiaTheme="minorEastAsia"/>
          <w:b/>
          <w:bCs/>
          <w:color w:val="auto"/>
          <w:kern w:val="0"/>
          <w:sz w:val="24"/>
          <w:highlight w:val="none"/>
        </w:rPr>
        <w:t>供应商有责任检查自身情况，在响应文件中对是否违反以上一般规定做出如实声明，否则其响应文件将被否决。</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3.1.3银行、保险、石油石化、电力、电信、律师、会计行业的法人允许其分支机构参与响应，其他行业不能以分支机构参与响应，否则响应无效。磋商文件另有规定的除外。</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3.2特别规定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3.2.1供应商的资格要求：详见</w:t>
      </w:r>
      <w:r>
        <w:rPr>
          <w:rFonts w:hint="eastAsia" w:cs="宋体" w:asciiTheme="minorEastAsia" w:hAnsiTheme="minorEastAsia" w:eastAsiaTheme="minorEastAsia"/>
          <w:color w:val="auto"/>
          <w:kern w:val="0"/>
          <w:sz w:val="24"/>
          <w:highlight w:val="none"/>
        </w:rPr>
        <w:t>第一章</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3.2.2是否接受联合体形式的响应磋商：详见</w:t>
      </w:r>
      <w:r>
        <w:rPr>
          <w:rFonts w:hint="eastAsia" w:cs="宋体" w:asciiTheme="minorEastAsia" w:hAnsiTheme="minorEastAsia" w:eastAsiaTheme="minorEastAsia"/>
          <w:color w:val="auto"/>
          <w:kern w:val="0"/>
          <w:sz w:val="24"/>
          <w:highlight w:val="none"/>
        </w:rPr>
        <w:t>第一章</w:t>
      </w:r>
      <w:r>
        <w:rPr>
          <w:rFonts w:cs="宋体" w:asciiTheme="minorEastAsia" w:hAnsiTheme="minorEastAsia" w:eastAsiaTheme="minorEastAsia"/>
          <w:color w:val="auto"/>
          <w:kern w:val="0"/>
          <w:sz w:val="24"/>
          <w:highlight w:val="none"/>
        </w:rPr>
        <w:t>。若接受联合体形式且供应商为联合体，则联合体各方除了应遵守本章第3.1条规定外，还应遵守下列规定：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（1）联合体各方应提交联合体协议，联合体协议应符合磋商文件规定。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（2）联合体各方不得再单独参加或与其他供应商另外组成联合体参加同一合同项下的响应磋商。</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（3）联合体各方应共同与采购人签订采购合同，就采购合同约定的事项对采购人承担连带责任。</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3.2.3若接受联合体形式，单位负责人为同一人或者存在直接控股、管理关系的不同供应商可以组成一个联合体，以一个供应商的身份参加</w:t>
      </w:r>
      <w:r>
        <w:rPr>
          <w:rFonts w:hint="eastAsia" w:cs="宋体" w:asciiTheme="minorEastAsia" w:hAnsiTheme="minorEastAsia" w:eastAsiaTheme="minorEastAsia"/>
          <w:color w:val="auto"/>
          <w:kern w:val="0"/>
          <w:sz w:val="24"/>
          <w:highlight w:val="none"/>
        </w:rPr>
        <w:t>本</w:t>
      </w:r>
      <w:r>
        <w:rPr>
          <w:rFonts w:cs="宋体" w:asciiTheme="minorEastAsia" w:hAnsiTheme="minorEastAsia" w:eastAsiaTheme="minorEastAsia"/>
          <w:color w:val="auto"/>
          <w:kern w:val="0"/>
          <w:sz w:val="24"/>
          <w:highlight w:val="none"/>
        </w:rPr>
        <w:t>采购活动。若不接受联合体形式，则单位负责人为同一人或者存在直接控股、管理关系的不同供应商，不得参加同一合同项下的采购活动。</w:t>
      </w:r>
    </w:p>
    <w:p>
      <w:pPr>
        <w:widowControl/>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4.参与竞争性磋商费用</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4.1除法律法规或采购文件另有规定之外，供应商应自行承担其准备与参加竞争性磋商所涉及的一切费用。</w:t>
      </w:r>
    </w:p>
    <w:p>
      <w:pPr>
        <w:pStyle w:val="4"/>
        <w:rPr>
          <w:color w:val="auto"/>
          <w:szCs w:val="16"/>
          <w:highlight w:val="none"/>
        </w:rPr>
      </w:pPr>
      <w:bookmarkStart w:id="6" w:name="_Toc77513641"/>
      <w:r>
        <w:rPr>
          <w:color w:val="auto"/>
          <w:szCs w:val="16"/>
          <w:highlight w:val="none"/>
        </w:rPr>
        <w:t>二、竞争性磋商文件</w:t>
      </w:r>
      <w:bookmarkEnd w:id="6"/>
    </w:p>
    <w:p>
      <w:pPr>
        <w:widowControl/>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5.竞争性磋商文件的组成</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5.1竞争性磋商文件由下述部分组成：</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第一章 采购公告（或采购邀请书）</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第二章 竞争性磋商须知</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第三章 采购内容及要求</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第四章 合同主要条款及格式</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第五章 首次响应文件格式</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5.2除上述内容以外，采购人或者磋商小组在采购过程期间对磋商文件所作的澄清、修改或补充，均构成磋商文件的组成部分，对采购人和供应商具有约束力。</w:t>
      </w:r>
    </w:p>
    <w:p>
      <w:pPr>
        <w:widowControl/>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6.竞争性磋商文件的澄清、补充、修改及现场考察等</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6.1提交首次响应文件截止之日前，采购人或者磋商小组可以对已发出的磋商文件进行必要的澄清、补充或者修改，澄清、补充或者修改的内容作为磋商文件的组成部分。澄清、补充或者修改的内容可能影响响应文件编制的，采购人或者磋商小组将在提交首次响应文件截止时间5个日历日前，以书面形式通知所有获取磋商文件的潜在供应商，不足5个日历日的，采购人或磋商小组将顺延提交首次响应文件的截止时间。</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或磋商小组通知所有潜在供应商的书面形式，潜在供应商务必随时关注磋商文件中载明的指定媒体，以免遗漏。</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6.3采购人可以视采购项目的具体情况，组织供应商进行现场考察或召开磋商前答疑会，是否组织现场考察或召开磋商前答疑会详见竞争性磋商须知前附表。</w:t>
      </w:r>
    </w:p>
    <w:p>
      <w:pPr>
        <w:pStyle w:val="4"/>
        <w:rPr>
          <w:color w:val="auto"/>
          <w:szCs w:val="16"/>
          <w:highlight w:val="none"/>
        </w:rPr>
      </w:pPr>
      <w:bookmarkStart w:id="7" w:name="_Toc77513642"/>
      <w:r>
        <w:rPr>
          <w:color w:val="auto"/>
          <w:szCs w:val="16"/>
          <w:highlight w:val="none"/>
        </w:rPr>
        <w:t>三、响应文件编制</w:t>
      </w:r>
      <w:bookmarkEnd w:id="7"/>
    </w:p>
    <w:p>
      <w:pPr>
        <w:widowControl/>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7.</w:t>
      </w:r>
      <w:r>
        <w:rPr>
          <w:rFonts w:hint="eastAsia" w:cs="宋体" w:asciiTheme="minorEastAsia" w:hAnsiTheme="minorEastAsia" w:eastAsiaTheme="minorEastAsia"/>
          <w:b/>
          <w:bCs/>
          <w:color w:val="auto"/>
          <w:kern w:val="0"/>
          <w:sz w:val="24"/>
          <w:highlight w:val="none"/>
        </w:rPr>
        <w:t>响应</w:t>
      </w:r>
      <w:r>
        <w:rPr>
          <w:rFonts w:cs="宋体" w:asciiTheme="minorEastAsia" w:hAnsiTheme="minorEastAsia" w:eastAsiaTheme="minorEastAsia"/>
          <w:b/>
          <w:bCs/>
          <w:color w:val="auto"/>
          <w:kern w:val="0"/>
          <w:sz w:val="24"/>
          <w:highlight w:val="none"/>
        </w:rPr>
        <w:t>要求</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r>
        <w:rPr>
          <w:rFonts w:hint="eastAsia" w:cs="宋体" w:asciiTheme="minorEastAsia" w:hAnsiTheme="minorEastAsia" w:eastAsiaTheme="minorEastAsia"/>
          <w:color w:val="auto"/>
          <w:kern w:val="0"/>
          <w:sz w:val="24"/>
          <w:highlight w:val="none"/>
        </w:rPr>
        <w:t>磋商、评审等以合同包为单位。</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7.2供应商代表在同一个合同项下只能接受一个供应商的委托参加响应磋商，否则其响应文件将被否决。</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7.3供应商应仔细阅读磋商文件的所有内容和要求，按磋商文件的规定提供响应文件，并对其所提供的全部资料、承诺和声明的真实性、合法性和准确性负责。</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7.4除非竞争性磋商须知前附表另有规定外，供应商提供的响应文件应使用中文文本，若有不同文字文本，以中文文本为准。</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7.5响应文件提供的全部资料中，若原件属于非中文描述，应提供中文译本。</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7.6除非竞争性磋商须知前附表另有规定外，供应商承诺的报价应以人民币进行报价，合同实施结算时亦以人民币支付；所有计量均采用中华人民共和国法定计量单位。</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7.7供应商在准备响应文件时应同时准备好原件，以备核查。在采购过程中若对材料存疑的，采购人或磋商小组有权要求供应商提供原件进行核对，供应商应及时提供原件。未按要求提交的，可以按以下规定处理：</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评审阶段要求提供原件的：若供应商未在评审结束前提供，则对响应文件中对应的材料不予认可。若该材料涉及资格要求的，则认定供应商不满足资格要求；若该材料涉及评分界定的，则供应商相应评分项不得分。</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（2）质疑、投诉处理或合同签订前要求提供原件的：若供应商未在3个工作日内提供，则可以认定其成交无效。</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（3）合同签订后、履约验收阶段要求提供原件的：若供应商未在7个工作日内提供，则可以认定验收不合格，并按合同约定追究供应商的违约责任。</w:t>
      </w:r>
    </w:p>
    <w:p>
      <w:pPr>
        <w:widowControl/>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8.首次响应文件的组成</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8.1首次响应文件包括但不限于下列部分：</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（1）响应函</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（2）报价</w:t>
      </w:r>
      <w:r>
        <w:rPr>
          <w:rFonts w:hint="eastAsia" w:cs="宋体" w:asciiTheme="minorEastAsia" w:hAnsiTheme="minorEastAsia" w:eastAsiaTheme="minorEastAsia"/>
          <w:color w:val="auto"/>
          <w:kern w:val="0"/>
          <w:sz w:val="24"/>
          <w:highlight w:val="none"/>
        </w:rPr>
        <w:t>文件</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（3）资格证明文件</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（4）磋商保证金凭证</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（5）技术和商务偏离表</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（6）相关技术、商务、服务响应承诺及资料</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（7）供应商提交的其他资料</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（8）要求作为响应文件组成部分的其他内容（若有）</w:t>
      </w:r>
    </w:p>
    <w:p>
      <w:pPr>
        <w:widowControl/>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9.响应文件有效期</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9.1响应文件有效期见竞争性磋商须知前附表，响应文件承诺的有效期不得少于磋商文件载明的有效期，</w:t>
      </w:r>
      <w:r>
        <w:rPr>
          <w:rFonts w:cs="宋体" w:asciiTheme="minorEastAsia" w:hAnsiTheme="minorEastAsia" w:eastAsiaTheme="minorEastAsia"/>
          <w:b/>
          <w:bCs/>
          <w:color w:val="auto"/>
          <w:kern w:val="0"/>
          <w:sz w:val="24"/>
          <w:highlight w:val="none"/>
        </w:rPr>
        <w:t>否则其响应文件将被否决。</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widowControl/>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10.磋商保证金</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10.1供应商应在参加竞争性磋商之前按竞争性磋商须知前附表规定的金额、形式等要求提交磋商保证金。磋商文件若接受联合体形式且供应商为联合体的，则可以由联合体中的</w:t>
      </w:r>
      <w:r>
        <w:rPr>
          <w:rFonts w:hint="eastAsia" w:cs="宋体" w:asciiTheme="minorEastAsia" w:hAnsiTheme="minorEastAsia" w:eastAsiaTheme="minorEastAsia"/>
          <w:color w:val="auto"/>
          <w:kern w:val="0"/>
          <w:sz w:val="24"/>
          <w:highlight w:val="none"/>
        </w:rPr>
        <w:t>任</w:t>
      </w:r>
      <w:r>
        <w:rPr>
          <w:rFonts w:cs="宋体" w:asciiTheme="minorEastAsia" w:hAnsiTheme="minorEastAsia" w:eastAsiaTheme="minorEastAsia"/>
          <w:color w:val="auto"/>
          <w:kern w:val="0"/>
          <w:sz w:val="24"/>
          <w:highlight w:val="none"/>
        </w:rPr>
        <w:t>一方提交磋商保证金，其提交的磋商保证金对联合体各方均具有约束力。</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10.2磋商保证金为响应文件的重要组成部分之一。磋商保证金用于保护本次磋商活动免受供应商的违约或失信行为而引起的风险。未按规定提交磋商保证金的，</w:t>
      </w:r>
      <w:r>
        <w:rPr>
          <w:rFonts w:cs="宋体" w:asciiTheme="minorEastAsia" w:hAnsiTheme="minorEastAsia" w:eastAsiaTheme="minorEastAsia"/>
          <w:b/>
          <w:bCs/>
          <w:color w:val="auto"/>
          <w:kern w:val="0"/>
          <w:sz w:val="24"/>
          <w:highlight w:val="none"/>
        </w:rPr>
        <w:t>其响应文件将被否决。</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10.3磋商保证金退还：</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10.3.1采购人将在采购活动结束后及时</w:t>
      </w:r>
      <w:r>
        <w:rPr>
          <w:rFonts w:hint="eastAsia" w:cs="宋体" w:asciiTheme="minorEastAsia" w:hAnsiTheme="minorEastAsia" w:eastAsiaTheme="minorEastAsia"/>
          <w:color w:val="auto"/>
          <w:kern w:val="0"/>
          <w:sz w:val="24"/>
          <w:highlight w:val="none"/>
        </w:rPr>
        <w:t>原额</w:t>
      </w:r>
      <w:r>
        <w:rPr>
          <w:rFonts w:cs="宋体" w:asciiTheme="minorEastAsia" w:hAnsiTheme="minorEastAsia" w:eastAsiaTheme="minorEastAsia"/>
          <w:color w:val="auto"/>
          <w:kern w:val="0"/>
          <w:sz w:val="24"/>
          <w:highlight w:val="none"/>
        </w:rPr>
        <w:t>退还供应商的保证金。未成交供应商的保证金将在成交通知书发出后5个工作日内退还，成交供应商的保证金将在采购合同签订后5个工作日内退还。</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10.3.2质疑或投诉涉及的供应商，若其磋商保证金尚未退还，则待质疑或投诉处理完毕后，且没有发生法律法规或者磋商文件规定的不予退还磋商保证金情形，则由采购人给予及时退还。</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10.4如果供应商发生以下任何一种情况时，其磋商保证金将被不予退还：</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（1）供应商在提交响应文件截止时间后撤回响应文件的；</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（2）供应商在响应文件中提供虚假材料的；</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（3）除因不可抗力或磋商文件认可的情形以外，成交供应商不与采购人签订合同的；</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（4）供应商与采购人、其他供应商恶意串通的；</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（5）供应商在提交最后报价后要求退出磋商的；</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（6）供应商假借以他人名义参加磋商或者以其他方式弄虚作假，骗取成交；</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（7）国家法律法规以及磋商文件中规定的其他磋商保证金不予退还的情形。</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上述不予退还磋商保证金的情况不能抵偿给采购人造成损失的，供应商还要承担赔偿责任。</w:t>
      </w:r>
    </w:p>
    <w:p>
      <w:pPr>
        <w:widowControl/>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11.响应文件基本编制要求</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11.1供应商须编制由本须知规定组成的响应文件正副本份数详见竞争性磋商须知前附表。响应文件正本和全部副本均应使用不能擦去的墨料或墨水打印、书写或复印，副本可以用正本的完整复印件。响应文件封面上应标明“正本”、“副本”字样。正本与副本内容如有不一致，则以正本为准。</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11.2响应文件应由供应商代表签字并加盖公章。供应商代表如果不是竞争性磋商须知中定义的“单位负责人”，则其响应文件中还必须提供“单位负责人授权书”。</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11.3响应文件应尽量避免涂改、行间插字或删除。如果出现上述情况，改动之处应加盖供应商单位公章或由供应商代表签字确认。</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11.4供应商应提交证明其拟提供货物、服务或工程符合磋商文件要求的技术和商务响应文件，该文件可以是文字资料、图纸和数据，并对拟提供的货物、服务或工程的主要内容进行详细描述。</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11.5供应商未按本须知规定的格式填写响应文件、响应文件字迹模糊不清的，将可能承担不利的评审结果。</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11.6供应商在编制响应文件的过程中，对所提供的材料应持有审慎的态度，并对其提供材料的真实性、合法性及有效性负责，若存在下列情况之一的，其响应无效：</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（1）响应</w:t>
      </w:r>
      <w:r>
        <w:rPr>
          <w:rFonts w:hint="eastAsia" w:ascii="宋体" w:hAnsi="宋体"/>
          <w:color w:val="auto"/>
          <w:sz w:val="24"/>
          <w:highlight w:val="none"/>
        </w:rPr>
        <w:t>文件中提供的材料与通过该材料出具单位官方网站、法定部门网站或磋商文件要求的途径查询结果不一致</w:t>
      </w:r>
      <w:r>
        <w:rPr>
          <w:rFonts w:hint="eastAsia" w:cs="宋体" w:asciiTheme="minorEastAsia" w:hAnsiTheme="minorEastAsia" w:eastAsiaTheme="minorEastAsia"/>
          <w:color w:val="auto"/>
          <w:kern w:val="0"/>
          <w:sz w:val="24"/>
          <w:highlight w:val="none"/>
        </w:rPr>
        <w:t>，且未提供</w:t>
      </w:r>
      <w:r>
        <w:rPr>
          <w:rFonts w:hint="eastAsia" w:ascii="宋体" w:hAnsi="宋体"/>
          <w:color w:val="auto"/>
          <w:sz w:val="24"/>
          <w:highlight w:val="none"/>
        </w:rPr>
        <w:t>材料出具单位</w:t>
      </w:r>
      <w:r>
        <w:rPr>
          <w:rFonts w:hint="eastAsia" w:cs="宋体" w:asciiTheme="minorEastAsia" w:hAnsiTheme="minorEastAsia" w:eastAsiaTheme="minorEastAsia"/>
          <w:color w:val="auto"/>
          <w:kern w:val="0"/>
          <w:sz w:val="24"/>
          <w:highlight w:val="none"/>
        </w:rPr>
        <w:t>书面说明</w:t>
      </w:r>
      <w:r>
        <w:rPr>
          <w:rFonts w:hint="eastAsia" w:ascii="宋体" w:hAnsi="宋体"/>
          <w:color w:val="auto"/>
          <w:sz w:val="24"/>
          <w:highlight w:val="none"/>
        </w:rPr>
        <w:t>的；</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（2）响应文件中提供的材料存在明显图形、文字技术处理痕迹的；</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（3）响应文件中提供明显不具备颁证能力机构出具的证书或出具的证书与事实不符的；</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（4）响应文件中提供的材料与事实或常理明显不符，或内容明显有悖常理的；</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（5）磋商小组根据其专业知识评判认定存在虚假情形的。</w:t>
      </w:r>
    </w:p>
    <w:p>
      <w:pPr>
        <w:widowControl/>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12.纸质响应文件的密封、标识、签署和提交</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12.1</w:t>
      </w:r>
      <w:r>
        <w:rPr>
          <w:rFonts w:hint="eastAsia" w:cs="宋体" w:asciiTheme="minorEastAsia" w:hAnsiTheme="minorEastAsia" w:eastAsiaTheme="minorEastAsia"/>
          <w:color w:val="auto"/>
          <w:kern w:val="0"/>
          <w:sz w:val="24"/>
          <w:highlight w:val="none"/>
        </w:rPr>
        <w:t>供应商应当将响应文件密封包装提交，并在外封套上标识项目名称、项目编号、供应商单位名称；采用邮寄方式提交响应文件的，其最外层包装上也必须按前文要求做好标识内容和字样，且供应商还应当在邮寄前主动联系采购人告知，并在邮寄后主动联系采购人确认邮件收递情况。由于供应商未按照要求对其提交的响应文件进行密封、标识、邮寄确认等，由此可能产生的后果（包括拒收、误放、遗漏或提前拆封等情形），将由供应商自行承担相应结果，采购人不承担责任。</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12.2供应商应当在磋商文件规定的提交响应文件截止时间前，将首次响应文件密封送达磋商文件规定的指定地点。在截止时间后送达的首次响应文件为无效文件，采购人或者磋商小组将不予接收。</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12.3供应商在首次响应文件递交截止时间前，可以对其所提交的响应文件进行补充、修改或者撤回，并书面通知采购人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或磋商小组将视为无效补充、修改或者撤回。采购人或磋商小组不接受供应商口头、电话、传真或电子邮件形式提交的补充、修改或者撤回。</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12.5首次响应文件递交截止时间后，提交响应文件的供应商不足</w:t>
      </w:r>
      <w:r>
        <w:rPr>
          <w:rFonts w:hint="eastAsia" w:cs="宋体" w:asciiTheme="minorEastAsia" w:hAnsiTheme="minorEastAsia" w:eastAsiaTheme="minorEastAsia"/>
          <w:color w:val="auto"/>
          <w:kern w:val="0"/>
          <w:sz w:val="24"/>
          <w:highlight w:val="none"/>
        </w:rPr>
        <w:t>规定数量</w:t>
      </w:r>
      <w:r>
        <w:rPr>
          <w:rFonts w:cs="宋体" w:asciiTheme="minorEastAsia" w:hAnsiTheme="minorEastAsia" w:eastAsiaTheme="minorEastAsia"/>
          <w:color w:val="auto"/>
          <w:kern w:val="0"/>
          <w:sz w:val="24"/>
          <w:highlight w:val="none"/>
        </w:rPr>
        <w:t>的，本次竞争性磋商活动终止，除采购任务取消情形外，采购人将依法重新组织采购或者采取其他方式采购。</w:t>
      </w:r>
    </w:p>
    <w:p>
      <w:pPr>
        <w:pStyle w:val="4"/>
        <w:rPr>
          <w:color w:val="auto"/>
          <w:szCs w:val="16"/>
          <w:highlight w:val="none"/>
        </w:rPr>
      </w:pPr>
      <w:bookmarkStart w:id="8" w:name="_Toc77513643"/>
      <w:r>
        <w:rPr>
          <w:color w:val="auto"/>
          <w:szCs w:val="16"/>
          <w:highlight w:val="none"/>
        </w:rPr>
        <w:t>四、竞争性磋商</w:t>
      </w:r>
      <w:bookmarkEnd w:id="8"/>
    </w:p>
    <w:p>
      <w:pPr>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13.评审和磋商基本准则</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13.1对所有供应商的评审和磋商，都采用相同的程序和标准。</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13.2磋商及评审过程将严格按照磋商文件的要求和条件进行，磋商小组将根据供应商的响应文件，按磋商文件规定的磋商程序及评审的标准和方法进行评审、磋商，并推荐成交候选人。</w:t>
      </w:r>
    </w:p>
    <w:p>
      <w:pPr>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14.磋商程序以及评审标准和方法</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14.1采购人将根据项目的特点依法组建磋商小组。磋商小组将根据磋商文件规定的程序、评审标准和方法等内容对供应商进行评审、磋商。</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14.2.1供应商有下列情况之一者，其提交的响应文件将被视为未实质性响应磋商文件要求，磋商小组将否决其响应文件，按无效处理：</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（1）响应文件中提供的资格证明文件不全的；</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（2）响应文件未按磋商文件规定由供应商代表签字，或未按磋商文件规定加盖供应商单位公章的；或供应商代表未获得有效授权的；</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（3）供应商未按磋商文件规定提交磋商保证金的；</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（4）响应文件有效期不满足磋商文件要求的；</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（5）响应内容与磋商采购内容及要求有重大偏离或保留的，限制了采购人的权利或者减少成交供应商合同项下的义务；（由于磋商项目本身特点，不能详细列明采购标的的技术、服务要求的除外）；</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（6）响应文件中附有采购人无法接受的条件的；</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（7）不符合磋商文件中规定的其它实质性条款（比如：报价超过了磋商文件规定的</w:t>
      </w:r>
      <w:r>
        <w:rPr>
          <w:rFonts w:hint="eastAsia" w:cs="宋体" w:asciiTheme="minorEastAsia" w:hAnsiTheme="minorEastAsia" w:eastAsiaTheme="minorEastAsia"/>
          <w:color w:val="auto"/>
          <w:kern w:val="0"/>
          <w:sz w:val="24"/>
          <w:highlight w:val="none"/>
        </w:rPr>
        <w:t>预算金额或</w:t>
      </w:r>
      <w:r>
        <w:rPr>
          <w:rFonts w:cs="宋体" w:asciiTheme="minorEastAsia" w:hAnsiTheme="minorEastAsia" w:eastAsiaTheme="minorEastAsia"/>
          <w:color w:val="auto"/>
          <w:kern w:val="0"/>
          <w:sz w:val="24"/>
          <w:highlight w:val="none"/>
        </w:rPr>
        <w:t>最高限价）。</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14.2.2其他情形</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包：1</w:t>
      </w:r>
    </w:p>
    <w:tbl>
      <w:tblPr>
        <w:tblStyle w:val="40"/>
        <w:tblW w:w="5000" w:type="pct"/>
        <w:jc w:val="center"/>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autofit"/>
        <w:tblCellMar>
          <w:top w:w="0" w:type="dxa"/>
          <w:left w:w="0" w:type="dxa"/>
          <w:bottom w:w="0" w:type="dxa"/>
          <w:right w:w="0" w:type="dxa"/>
        </w:tblCellMar>
      </w:tblPr>
      <w:tblGrid>
        <w:gridCol w:w="9080"/>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blHeader/>
          <w:jc w:val="center"/>
        </w:trPr>
        <w:tc>
          <w:tcPr>
            <w:tcW w:w="5000" w:type="pct"/>
            <w:tcBorders>
              <w:top w:val="single" w:color="666666" w:sz="4" w:space="0"/>
              <w:left w:val="single" w:color="666666" w:sz="4" w:space="0"/>
              <w:bottom w:val="single" w:color="666666" w:sz="4" w:space="0"/>
              <w:right w:val="single" w:color="666666"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cs="宋体" w:asciiTheme="minorEastAsia" w:hAnsiTheme="minorEastAsia" w:eastAsiaTheme="minorEastAsia"/>
                <w:b/>
                <w:bCs/>
                <w:color w:val="auto"/>
                <w:kern w:val="0"/>
                <w:sz w:val="24"/>
                <w:highlight w:val="none"/>
              </w:rPr>
            </w:pPr>
            <w:r>
              <w:rPr>
                <w:rFonts w:cs="宋体" w:asciiTheme="minorEastAsia" w:hAnsiTheme="minorEastAsia" w:eastAsiaTheme="minorEastAsia"/>
                <w:b/>
                <w:bCs/>
                <w:color w:val="auto"/>
                <w:kern w:val="0"/>
                <w:sz w:val="24"/>
                <w:highlight w:val="none"/>
              </w:rPr>
              <w:t>明细</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666666" w:sz="4" w:space="0"/>
              <w:left w:val="single" w:color="666666" w:sz="4" w:space="0"/>
              <w:bottom w:val="single" w:color="666666" w:sz="4" w:space="0"/>
              <w:right w:val="single" w:color="666666"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w:t>
            </w:r>
          </w:p>
        </w:tc>
      </w:tr>
    </w:tbl>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磋商小组决定供应商的响应性只根据响应文件本身的内容，而不寻求其他的外部证据。</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14.5合格供应商应当按照磋商文件的变动情况和磋商小组的要求提交补充响应文件（首次响应文件中已经提交过的如资格证明文件等资料，不用重新提供），并由供应商代表签字或加盖供应商单位公章。</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14.6磋商文件能够详细列明采购标的的技术、服务要求的，磋商结束后，磋商小组应当要求所有实质性响应的合格供应商在规定时间内提交最后报价。属于允许两家供应商进行竞争性磋商采购情形，则提交最后报价的供应商可以为2家。</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允许两家供应商进行竞争性磋商采购情形，则提交最后报价的供应商可以为2家。</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14.9磋商小组将采用综合评分法对提交最后报价的供应商的响应文件和最后报价进行综合评分，具体评审的标准和方法详见竞争性磋商须知前附表。磋商小组根据综合评分情况，按照评审得分由高到低顺序推荐3名及以上成交候选供应商，并编写评审报告。属于允许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14.10关于细微偏差</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①细微偏差指响应文件实质性响应磋商文件要求，但在个别地方存在漏项或提供了不完整的技术信息和数据等情况，并且补正这些遗漏或不完整不会对其他供应商造成不公平的结果。细微偏差不影响响应文件的有效性。</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②磋商小组将以书面形式要求存在细微偏差的供应商在规定的时间内予以补正。若无法补正，则磋商小组将按照不利于供应商的内容进行认定。</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14.11关于响应描述（即响应文件中描述的内容）</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①响应描述前后不一致且不涉及证明材料的：按照本章第14.3条规定执行。</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②响应描述与证明材料不一致或多份证明材料之间不一致的：</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a.磋商小组将要求供应商进行书面澄清，并按照不利于供应商的内容进行评审。</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b.供应商按照要求进行澄清的，采购人以澄清内容为准进行验收；供应商未按照要求进行澄清的，采购人以响应描述或证明材料中有利于采购人的内容进行验收。供应商应对证明材料的真实性、有效性承担责任。</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③若供应商的响应描述存在前后不一致、与证明材料不一致或多份证明材料之间不一致情形之一但在评审中未能发现，则采购人将以响应描述或证明材料中有利于采购人的内容进行验收，供应商应自行承担由此产生的风险及费用。</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14.1</w:t>
      </w:r>
      <w:r>
        <w:rPr>
          <w:rFonts w:hint="eastAsia" w:cs="宋体" w:asciiTheme="minorEastAsia" w:hAnsiTheme="minorEastAsia" w:eastAsiaTheme="minorEastAsia"/>
          <w:color w:val="auto"/>
          <w:kern w:val="0"/>
          <w:sz w:val="24"/>
          <w:highlight w:val="none"/>
        </w:rPr>
        <w:t>2</w:t>
      </w:r>
      <w:r>
        <w:rPr>
          <w:rFonts w:cs="宋体" w:asciiTheme="minorEastAsia" w:hAnsiTheme="minorEastAsia" w:eastAsiaTheme="minorEastAsia"/>
          <w:color w:val="auto"/>
          <w:kern w:val="0"/>
          <w:sz w:val="24"/>
          <w:highlight w:val="none"/>
        </w:rPr>
        <w:t>供应商提交的响应文件和资料将给予保密，但不退回（有关证件或证照的原件除外）。</w:t>
      </w:r>
    </w:p>
    <w:p>
      <w:pPr>
        <w:pStyle w:val="4"/>
        <w:rPr>
          <w:color w:val="auto"/>
          <w:szCs w:val="16"/>
          <w:highlight w:val="none"/>
        </w:rPr>
      </w:pPr>
      <w:bookmarkStart w:id="9" w:name="_Toc77513644"/>
      <w:r>
        <w:rPr>
          <w:color w:val="auto"/>
          <w:szCs w:val="16"/>
          <w:highlight w:val="none"/>
        </w:rPr>
        <w:t>五、合同授予</w:t>
      </w:r>
      <w:bookmarkEnd w:id="9"/>
    </w:p>
    <w:p>
      <w:pPr>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15.授予合同的准则</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15.1除不可抗力等因素外，合同将授予响应文件符合竞争性磋商文件要求，能够圆满地履行合同，且被磋商小组推荐为第一成交候选人的供应商。</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15.2 采购合同履行中，采购人需追加与合同标的相同的货物、工程或者服务的，在不改变合同其他条款的前提下，可以与成交供应商协商签订补充合同，但所有补充合同的采购金额不得超过原合同采购金额的百分之十。</w:t>
      </w:r>
      <w:r>
        <w:rPr>
          <w:rFonts w:hint="eastAsia" w:cs="宋体" w:asciiTheme="minorEastAsia" w:hAnsiTheme="minorEastAsia" w:eastAsiaTheme="minorEastAsia"/>
          <w:color w:val="auto"/>
          <w:kern w:val="0"/>
          <w:sz w:val="24"/>
          <w:highlight w:val="none"/>
        </w:rPr>
        <w:t>结算时需送第三方审核。</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15.3为维护国家利益和社会公共利益，最低报价不是被授予合同的绝对保证。</w:t>
      </w:r>
    </w:p>
    <w:p>
      <w:pPr>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16.确定成交供应商</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16.</w:t>
      </w:r>
      <w:r>
        <w:rPr>
          <w:rFonts w:hint="eastAsia" w:cs="宋体" w:asciiTheme="minorEastAsia" w:hAnsiTheme="minorEastAsia" w:eastAsiaTheme="minorEastAsia"/>
          <w:color w:val="auto"/>
          <w:kern w:val="0"/>
          <w:sz w:val="24"/>
          <w:highlight w:val="none"/>
        </w:rPr>
        <w:t>1</w:t>
      </w:r>
      <w:r>
        <w:rPr>
          <w:rFonts w:cs="宋体" w:asciiTheme="minorEastAsia" w:hAnsiTheme="minorEastAsia" w:eastAsiaTheme="minorEastAsia"/>
          <w:color w:val="auto"/>
          <w:kern w:val="0"/>
          <w:sz w:val="24"/>
          <w:highlight w:val="none"/>
        </w:rPr>
        <w:t>采购人在收到评审报告后从评审报告提出的成交候选人中，按照综合评分得分排序由高到低的原则确定成交供应商。</w:t>
      </w:r>
    </w:p>
    <w:p>
      <w:pPr>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17.成交通知</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17.1采购人在成交供应商确定后2个工作日内，在媒体上公告成交结果，同时向成交供应商发出成交通知书。</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17.2除不可抗力因素或政策原因外，成交通知书发出后，采购人改变成交结果，或者成交供应商拒绝签订采购合同的，均应当承担相应的法律责任。未成交供应商对成交结果公告如果有异议的，应当自成交结果公告刊登之日起7个工作日内，以书面形式向采购人提出质疑。</w:t>
      </w:r>
    </w:p>
    <w:p>
      <w:pPr>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18.签订合同</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18.1采购人与成交供应商应当在成交通知书发出之日起30日内，按照采购文件确定的合同文本以及采购标的、规格型号、采购金额、采购数量、技术和服务要求等事项签订采购合同。根据项目的特点和需要，采购人如果对签订合同的时间期限、地点有特别要求的，可以在成交通知书中进一步明确，成交供应商应当按照成交通知书的规定和要求，及时与采购人签订合同。</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18.2竞争性磋商文件、成交供应商的响应文件及其有关澄清承诺文件等，均为签订采购合同的依据和组成部分。</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18.3采购人不得向成交供应商提出超出竞争性磋商文件以外的任何要求作为签订合同的条件，不得与成交供应商订立背离竞争性磋商文件确定的合同文本以及采购标的、规格型号、采购金额、采购数量、技术和服务要求等实质性内容的协议。</w:t>
      </w:r>
    </w:p>
    <w:p>
      <w:pPr>
        <w:pStyle w:val="4"/>
        <w:rPr>
          <w:color w:val="auto"/>
          <w:szCs w:val="16"/>
          <w:highlight w:val="none"/>
        </w:rPr>
      </w:pPr>
      <w:bookmarkStart w:id="10" w:name="_Toc77513645"/>
      <w:r>
        <w:rPr>
          <w:color w:val="auto"/>
          <w:szCs w:val="16"/>
          <w:highlight w:val="none"/>
        </w:rPr>
        <w:t>六、询问</w:t>
      </w:r>
      <w:r>
        <w:rPr>
          <w:rFonts w:hint="eastAsia"/>
          <w:color w:val="auto"/>
          <w:szCs w:val="16"/>
          <w:highlight w:val="none"/>
        </w:rPr>
        <w:t>与</w:t>
      </w:r>
      <w:r>
        <w:rPr>
          <w:color w:val="auto"/>
          <w:szCs w:val="16"/>
          <w:highlight w:val="none"/>
        </w:rPr>
        <w:t>质疑</w:t>
      </w:r>
      <w:bookmarkEnd w:id="10"/>
    </w:p>
    <w:p>
      <w:pPr>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19.询问</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19.1潜在供应商或供应商对本次采购活动的有关事项若有疑问，可向采购人提出询问，采购人将按照有关规定进行答复。</w:t>
      </w:r>
    </w:p>
    <w:p>
      <w:pPr>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20.质疑</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20.1质疑应符合下列条件：</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20.1.2质疑人应提交质疑函原件。</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20.1.3质疑函应包括下列主要内容：</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①</w:t>
      </w:r>
      <w:r>
        <w:rPr>
          <w:rFonts w:cs="宋体" w:asciiTheme="minorEastAsia" w:hAnsiTheme="minorEastAsia" w:eastAsiaTheme="minorEastAsia"/>
          <w:color w:val="auto"/>
          <w:kern w:val="0"/>
          <w:sz w:val="24"/>
          <w:highlight w:val="none"/>
        </w:rPr>
        <w:t>质疑人的基本信息，至少包括：全称、地址、邮政编码、联系人及联系电话等；适合自然人参加磋商的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②</w:t>
      </w:r>
      <w:r>
        <w:rPr>
          <w:rFonts w:cs="宋体" w:asciiTheme="minorEastAsia" w:hAnsiTheme="minorEastAsia" w:eastAsiaTheme="minorEastAsia"/>
          <w:color w:val="auto"/>
          <w:kern w:val="0"/>
          <w:sz w:val="24"/>
          <w:highlight w:val="none"/>
        </w:rPr>
        <w:t>所质疑项目的基本信息，至少包括：项目编号、项目名称等；</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③</w:t>
      </w:r>
      <w:r>
        <w:rPr>
          <w:rFonts w:cs="宋体" w:asciiTheme="minorEastAsia" w:hAnsiTheme="minorEastAsia" w:eastAsiaTheme="minorEastAsia"/>
          <w:color w:val="auto"/>
          <w:kern w:val="0"/>
          <w:sz w:val="24"/>
          <w:highlight w:val="none"/>
        </w:rPr>
        <w:t>所质疑的具体事项（以下简称：“质疑事项”）；</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④</w:t>
      </w:r>
      <w:r>
        <w:rPr>
          <w:rFonts w:cs="宋体" w:asciiTheme="minorEastAsia" w:hAnsiTheme="minorEastAsia" w:eastAsiaTheme="minorEastAsia"/>
          <w:color w:val="auto"/>
          <w:kern w:val="0"/>
          <w:sz w:val="24"/>
          <w:highlight w:val="none"/>
        </w:rPr>
        <w:t>质疑人自身权益受到损害的事实依据和证明材料，至少包括：</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a1所质疑的具体事项事实存在的证明材料；</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a2所质疑的具体事项事实导致质疑人自身权益受到损害的证明材料，如：采购文件、采购过程或成交结果违法违规，损害自己合法权益等证明材料；</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⑤</w:t>
      </w:r>
      <w:r>
        <w:rPr>
          <w:rFonts w:cs="宋体" w:asciiTheme="minorEastAsia" w:hAnsiTheme="minorEastAsia" w:eastAsiaTheme="minorEastAsia"/>
          <w:color w:val="auto"/>
          <w:kern w:val="0"/>
          <w:sz w:val="24"/>
          <w:highlight w:val="none"/>
        </w:rPr>
        <w:t>针对质疑事项提出的明确请求和法律依据，</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前述明确请求指质疑人提出质疑的目的、希望采购人对其质疑作出的处理结果，如：暂停采购活动、修改磋商文件、停止或纠正违法违规行为、成交结果无效、废标、重新采购等，质疑人提出质疑请求还应当对相应的法律依据进行说明。</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⑥</w:t>
      </w:r>
      <w:r>
        <w:rPr>
          <w:rFonts w:cs="宋体" w:asciiTheme="minorEastAsia" w:hAnsiTheme="minorEastAsia" w:eastAsiaTheme="minorEastAsia"/>
          <w:color w:val="auto"/>
          <w:kern w:val="0"/>
          <w:sz w:val="24"/>
          <w:highlight w:val="none"/>
        </w:rPr>
        <w:t>提出质疑的日期以及质疑人代表联系方式，至少包括：姓名、手机、电子信箱、邮寄地址等。</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20.2对不符合前文第20.1条规定的质疑，采购人将按照下列规定进行处理：</w:t>
      </w:r>
    </w:p>
    <w:p>
      <w:pPr>
        <w:spacing w:line="360" w:lineRule="auto"/>
        <w:ind w:firstLine="480" w:firstLineChars="200"/>
        <w:rPr>
          <w:rFonts w:asciiTheme="minorEastAsia" w:hAnsiTheme="minorEastAsia"/>
          <w:color w:val="auto"/>
          <w:sz w:val="24"/>
          <w:highlight w:val="none"/>
        </w:rPr>
      </w:pPr>
      <w:r>
        <w:rPr>
          <w:rFonts w:asciiTheme="minorEastAsia" w:hAnsiTheme="minorEastAsia"/>
          <w:color w:val="auto"/>
          <w:sz w:val="24"/>
          <w:highlight w:val="none"/>
        </w:rPr>
        <w:t>（1）未按照规定提交的，书面告知质疑人不予受理及其理由。</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asciiTheme="minorEastAsia" w:hAnsiTheme="minorEastAsia"/>
          <w:color w:val="auto"/>
          <w:sz w:val="24"/>
          <w:highlight w:val="none"/>
        </w:rPr>
        <w:t>（2）内容不符合规定的，告知质疑人修改、补充后在规定时限内重新提交质疑函原件</w:t>
      </w:r>
      <w:r>
        <w:rPr>
          <w:rFonts w:cs="宋体" w:asciiTheme="minorEastAsia" w:hAnsiTheme="minorEastAsia" w:eastAsiaTheme="minorEastAsia"/>
          <w:color w:val="auto"/>
          <w:kern w:val="0"/>
          <w:sz w:val="24"/>
          <w:highlight w:val="none"/>
        </w:rPr>
        <w:t>，逾期提交不予受理</w:t>
      </w:r>
      <w:r>
        <w:rPr>
          <w:rFonts w:asciiTheme="minorEastAsia" w:hAnsiTheme="minorEastAsia"/>
          <w:color w:val="auto"/>
          <w:sz w:val="24"/>
          <w:highlight w:val="none"/>
        </w:rPr>
        <w:t>。</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20.3</w:t>
      </w:r>
      <w:r>
        <w:rPr>
          <w:rFonts w:hint="eastAsia" w:cs="宋体" w:asciiTheme="minorEastAsia" w:hAnsiTheme="minorEastAsia" w:eastAsiaTheme="minorEastAsia"/>
          <w:color w:val="auto"/>
          <w:kern w:val="0"/>
          <w:sz w:val="24"/>
          <w:highlight w:val="none"/>
        </w:rPr>
        <w:t>其他未尽事宜参考《厦门市财政局关于印发厦门市政府采购询问、质疑和投诉指引的通知》（厦财采〔2021〕6号）的有关规定处理。</w:t>
      </w:r>
    </w:p>
    <w:p>
      <w:pPr>
        <w:pStyle w:val="4"/>
        <w:rPr>
          <w:color w:val="auto"/>
          <w:szCs w:val="16"/>
          <w:highlight w:val="none"/>
        </w:rPr>
      </w:pPr>
      <w:bookmarkStart w:id="11" w:name="_Toc77513646"/>
      <w:r>
        <w:rPr>
          <w:color w:val="auto"/>
          <w:szCs w:val="16"/>
          <w:highlight w:val="none"/>
        </w:rPr>
        <w:t>七、有关信息公告</w:t>
      </w:r>
      <w:bookmarkEnd w:id="11"/>
    </w:p>
    <w:p>
      <w:pPr>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2</w:t>
      </w:r>
      <w:r>
        <w:rPr>
          <w:rFonts w:hint="eastAsia" w:cs="宋体" w:asciiTheme="minorEastAsia" w:hAnsiTheme="minorEastAsia" w:eastAsiaTheme="minorEastAsia"/>
          <w:b/>
          <w:bCs/>
          <w:color w:val="auto"/>
          <w:kern w:val="0"/>
          <w:sz w:val="24"/>
          <w:highlight w:val="none"/>
        </w:rPr>
        <w:t>1</w:t>
      </w:r>
      <w:r>
        <w:rPr>
          <w:rFonts w:cs="宋体" w:asciiTheme="minorEastAsia" w:hAnsiTheme="minorEastAsia" w:eastAsiaTheme="minorEastAsia"/>
          <w:b/>
          <w:bCs/>
          <w:color w:val="auto"/>
          <w:kern w:val="0"/>
          <w:sz w:val="24"/>
          <w:highlight w:val="none"/>
        </w:rPr>
        <w:t>.采购信息公告媒体</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1</w:t>
      </w:r>
      <w:r>
        <w:rPr>
          <w:rFonts w:cs="宋体" w:asciiTheme="minorEastAsia" w:hAnsiTheme="minorEastAsia" w:eastAsiaTheme="minorEastAsia"/>
          <w:color w:val="auto"/>
          <w:kern w:val="0"/>
          <w:sz w:val="24"/>
          <w:highlight w:val="none"/>
        </w:rPr>
        <w:t>.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1</w:t>
      </w:r>
      <w:r>
        <w:rPr>
          <w:rFonts w:cs="宋体" w:asciiTheme="minorEastAsia" w:hAnsiTheme="minorEastAsia" w:eastAsiaTheme="minorEastAsia"/>
          <w:color w:val="auto"/>
          <w:kern w:val="0"/>
          <w:sz w:val="24"/>
          <w:highlight w:val="none"/>
        </w:rPr>
        <w:t>.2信息公告指定媒体：详见竞争性磋商须知前附表。</w:t>
      </w:r>
    </w:p>
    <w:p>
      <w:pPr>
        <w:pStyle w:val="4"/>
        <w:rPr>
          <w:color w:val="auto"/>
          <w:szCs w:val="16"/>
          <w:highlight w:val="none"/>
        </w:rPr>
      </w:pPr>
      <w:bookmarkStart w:id="12" w:name="_Toc77513647"/>
      <w:r>
        <w:rPr>
          <w:color w:val="auto"/>
          <w:szCs w:val="16"/>
          <w:highlight w:val="none"/>
        </w:rPr>
        <w:t>八、根据采购项目特点或政策需要补充的其他内容</w:t>
      </w:r>
      <w:bookmarkEnd w:id="12"/>
    </w:p>
    <w:p>
      <w:pPr>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2</w:t>
      </w:r>
      <w:r>
        <w:rPr>
          <w:rFonts w:hint="eastAsia" w:cs="宋体" w:asciiTheme="minorEastAsia" w:hAnsiTheme="minorEastAsia" w:eastAsiaTheme="minorEastAsia"/>
          <w:b/>
          <w:bCs/>
          <w:color w:val="auto"/>
          <w:kern w:val="0"/>
          <w:sz w:val="24"/>
          <w:highlight w:val="none"/>
        </w:rPr>
        <w:t>2</w:t>
      </w:r>
      <w:r>
        <w:rPr>
          <w:rFonts w:cs="宋体" w:asciiTheme="minorEastAsia" w:hAnsiTheme="minorEastAsia" w:eastAsiaTheme="minorEastAsia"/>
          <w:b/>
          <w:bCs/>
          <w:color w:val="auto"/>
          <w:kern w:val="0"/>
          <w:sz w:val="24"/>
          <w:highlight w:val="none"/>
        </w:rPr>
        <w:t>.履约保证金</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2</w:t>
      </w:r>
      <w:r>
        <w:rPr>
          <w:rFonts w:cs="宋体" w:asciiTheme="minorEastAsia" w:hAnsiTheme="minorEastAsia" w:eastAsiaTheme="minorEastAsia"/>
          <w:color w:val="auto"/>
          <w:kern w:val="0"/>
          <w:sz w:val="24"/>
          <w:highlight w:val="none"/>
        </w:rPr>
        <w:t>.1采购人可以根据项目特点和需要，确定是否要求成交供应商在合同签订前，按照磋商文件规定的时间、形式、金额提交履约保证金，履约保证金的数额不超过合同金额的10%。</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2</w:t>
      </w:r>
      <w:r>
        <w:rPr>
          <w:rFonts w:cs="宋体" w:asciiTheme="minorEastAsia" w:hAnsiTheme="minorEastAsia" w:eastAsiaTheme="minorEastAsia"/>
          <w:color w:val="auto"/>
          <w:kern w:val="0"/>
          <w:sz w:val="24"/>
          <w:highlight w:val="none"/>
        </w:rPr>
        <w:t>.2磋商文件要求在合同签订前提交履约保证金，如果成交供应商无故拖延或者拒不提交履约保证金的，则视为成交供应商拒绝与采购人签订合同，该成交供应商将承担违法行为的法律责任。</w:t>
      </w:r>
    </w:p>
    <w:p>
      <w:pPr>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2</w:t>
      </w:r>
      <w:r>
        <w:rPr>
          <w:rFonts w:hint="eastAsia" w:cs="宋体" w:asciiTheme="minorEastAsia" w:hAnsiTheme="minorEastAsia" w:eastAsiaTheme="minorEastAsia"/>
          <w:b/>
          <w:bCs/>
          <w:color w:val="auto"/>
          <w:kern w:val="0"/>
          <w:sz w:val="24"/>
          <w:highlight w:val="none"/>
        </w:rPr>
        <w:t>3</w:t>
      </w:r>
      <w:r>
        <w:rPr>
          <w:rFonts w:cs="宋体" w:asciiTheme="minorEastAsia" w:hAnsiTheme="minorEastAsia" w:eastAsiaTheme="minorEastAsia"/>
          <w:b/>
          <w:bCs/>
          <w:color w:val="auto"/>
          <w:kern w:val="0"/>
          <w:sz w:val="24"/>
          <w:highlight w:val="none"/>
        </w:rPr>
        <w:t>.其他新增内容</w:t>
      </w:r>
    </w:p>
    <w:p>
      <w:pPr>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根据采购项目特点或政策需要补充的其他新增内容详见竞争性磋商须知前附表。</w:t>
      </w:r>
    </w:p>
    <w:p>
      <w:pPr>
        <w:pStyle w:val="4"/>
        <w:rPr>
          <w:color w:val="auto"/>
          <w:kern w:val="0"/>
          <w:highlight w:val="none"/>
        </w:rPr>
      </w:pPr>
      <w:bookmarkStart w:id="13" w:name="_Toc77513648"/>
      <w:r>
        <w:rPr>
          <w:rFonts w:hint="eastAsia"/>
          <w:color w:val="auto"/>
          <w:szCs w:val="16"/>
          <w:highlight w:val="none"/>
        </w:rPr>
        <w:t>九、</w:t>
      </w:r>
      <w:r>
        <w:rPr>
          <w:color w:val="auto"/>
          <w:kern w:val="0"/>
          <w:highlight w:val="none"/>
        </w:rPr>
        <w:t>采购政策</w:t>
      </w:r>
      <w:bookmarkEnd w:id="13"/>
    </w:p>
    <w:p>
      <w:pPr>
        <w:widowControl/>
        <w:spacing w:line="360" w:lineRule="auto"/>
        <w:ind w:firstLine="481" w:firstLineChars="200"/>
        <w:jc w:val="left"/>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24.本项目执行以下采购政策</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24</w:t>
      </w:r>
      <w:r>
        <w:rPr>
          <w:rFonts w:cs="宋体" w:asciiTheme="minorEastAsia" w:hAnsiTheme="minorEastAsia" w:eastAsiaTheme="minorEastAsia"/>
          <w:color w:val="auto"/>
          <w:kern w:val="0"/>
          <w:sz w:val="24"/>
          <w:highlight w:val="none"/>
        </w:rPr>
        <w:t>.1进口产品指通过中国海关报关验放进入中国境内且产自关境外的产品，其中：</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（2）凡在海关特殊监管区域内企业生产或加工（包括从境外进口料件）销往境内其他地区的产品，</w:t>
      </w:r>
      <w:r>
        <w:rPr>
          <w:rFonts w:hint="eastAsia" w:cs="宋体" w:asciiTheme="minorEastAsia" w:hAnsiTheme="minorEastAsia" w:eastAsiaTheme="minorEastAsia"/>
          <w:color w:val="auto"/>
          <w:kern w:val="0"/>
          <w:sz w:val="24"/>
          <w:highlight w:val="none"/>
        </w:rPr>
        <w:t>不属于</w:t>
      </w:r>
      <w:r>
        <w:rPr>
          <w:rFonts w:cs="宋体" w:asciiTheme="minorEastAsia" w:hAnsiTheme="minorEastAsia" w:eastAsiaTheme="minorEastAsia"/>
          <w:color w:val="auto"/>
          <w:kern w:val="0"/>
          <w:sz w:val="24"/>
          <w:highlight w:val="none"/>
        </w:rPr>
        <w:t>进口产品。</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（3）对从境外进入海关特殊监管区域，再经办理报关手续后从海关特殊监管区进入境内其他地区的产品，认定为进口产品。</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（4）</w:t>
      </w:r>
      <w:r>
        <w:rPr>
          <w:rFonts w:hint="eastAsia" w:cs="宋体" w:asciiTheme="minorEastAsia" w:hAnsiTheme="minorEastAsia" w:eastAsiaTheme="minorEastAsia"/>
          <w:color w:val="auto"/>
          <w:kern w:val="0"/>
          <w:sz w:val="24"/>
          <w:highlight w:val="none"/>
        </w:rPr>
        <w:t>磋商</w:t>
      </w:r>
      <w:r>
        <w:rPr>
          <w:rFonts w:cs="宋体" w:asciiTheme="minorEastAsia" w:hAnsiTheme="minorEastAsia" w:eastAsiaTheme="minorEastAsia"/>
          <w:color w:val="auto"/>
          <w:kern w:val="0"/>
          <w:sz w:val="24"/>
          <w:highlight w:val="none"/>
        </w:rPr>
        <w:t>文件列明不允许或未列明允许进口产品参加</w:t>
      </w:r>
      <w:r>
        <w:rPr>
          <w:rFonts w:hint="eastAsia" w:cs="宋体" w:asciiTheme="minorEastAsia" w:hAnsiTheme="minorEastAsia" w:eastAsiaTheme="minorEastAsia"/>
          <w:color w:val="auto"/>
          <w:kern w:val="0"/>
          <w:sz w:val="24"/>
          <w:highlight w:val="none"/>
        </w:rPr>
        <w:t>磋商</w:t>
      </w:r>
      <w:r>
        <w:rPr>
          <w:rFonts w:cs="宋体" w:asciiTheme="minorEastAsia" w:hAnsiTheme="minorEastAsia" w:eastAsiaTheme="minorEastAsia"/>
          <w:color w:val="auto"/>
          <w:kern w:val="0"/>
          <w:sz w:val="24"/>
          <w:highlight w:val="none"/>
        </w:rPr>
        <w:t>的，均视为拒绝进口产品参加</w:t>
      </w:r>
      <w:r>
        <w:rPr>
          <w:rFonts w:hint="eastAsia" w:cs="宋体" w:asciiTheme="minorEastAsia" w:hAnsiTheme="minorEastAsia" w:eastAsiaTheme="minorEastAsia"/>
          <w:color w:val="auto"/>
          <w:kern w:val="0"/>
          <w:sz w:val="24"/>
          <w:highlight w:val="none"/>
        </w:rPr>
        <w:t>磋商</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24</w:t>
      </w:r>
      <w:r>
        <w:rPr>
          <w:rFonts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环境标志产品、节能产品清单按照《关于印发环境标志产品政府采购品目清单的通知》（财库〔2019〕18号）、《关于印发节能产品政府采购品目清单的通知》（财库〔2019〕19号）执行。</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24</w:t>
      </w:r>
      <w:r>
        <w:rPr>
          <w:rFonts w:cs="宋体" w:asciiTheme="minorEastAsia" w:hAnsiTheme="minorEastAsia" w:eastAsiaTheme="minorEastAsia"/>
          <w:color w:val="auto"/>
          <w:kern w:val="0"/>
          <w:sz w:val="24"/>
          <w:highlight w:val="none"/>
        </w:rPr>
        <w:t>.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24.4</w:t>
      </w:r>
      <w:r>
        <w:rPr>
          <w:rFonts w:cs="宋体" w:asciiTheme="minorEastAsia" w:hAnsiTheme="minorEastAsia" w:eastAsiaTheme="minorEastAsia"/>
          <w:color w:val="auto"/>
          <w:kern w:val="0"/>
          <w:sz w:val="24"/>
          <w:highlight w:val="none"/>
        </w:rPr>
        <w:t>符合财政部、工信部文件（财库〔2020〕46号）规定的小型、微型企业可享受扶持政策（如：预留采购份额、价格评审优惠、优先采购）。符合财政部、司法部文件（财库〔20</w:t>
      </w:r>
      <w:r>
        <w:rPr>
          <w:rFonts w:hint="eastAsia" w:cs="宋体" w:asciiTheme="minorEastAsia" w:hAnsiTheme="minorEastAsia" w:eastAsiaTheme="minorEastAsia"/>
          <w:color w:val="auto"/>
          <w:kern w:val="0"/>
          <w:sz w:val="24"/>
          <w:highlight w:val="none"/>
        </w:rPr>
        <w:t>14</w:t>
      </w:r>
      <w:r>
        <w:rPr>
          <w:rFonts w:cs="宋体" w:asciiTheme="minorEastAsia" w:hAnsiTheme="minorEastAsia" w:eastAsiaTheme="minorEastAsia"/>
          <w:color w:val="auto"/>
          <w:kern w:val="0"/>
          <w:sz w:val="24"/>
          <w:highlight w:val="none"/>
        </w:rPr>
        <w:t>〕68号）规定的监狱企业（以下简称：“监狱企业”）亦可享受前述扶持政策。符合财政部、民政部、中国残联文件（财库〔20</w:t>
      </w:r>
      <w:r>
        <w:rPr>
          <w:rFonts w:hint="eastAsia" w:cs="宋体" w:asciiTheme="minorEastAsia" w:hAnsiTheme="minorEastAsia" w:eastAsiaTheme="minorEastAsia"/>
          <w:color w:val="auto"/>
          <w:kern w:val="0"/>
          <w:sz w:val="24"/>
          <w:highlight w:val="none"/>
        </w:rPr>
        <w:t>17</w:t>
      </w:r>
      <w:r>
        <w:rPr>
          <w:rFonts w:cs="宋体" w:asciiTheme="minorEastAsia" w:hAnsiTheme="minorEastAsia" w:eastAsiaTheme="minorEastAsia"/>
          <w:color w:val="auto"/>
          <w:kern w:val="0"/>
          <w:sz w:val="24"/>
          <w:highlight w:val="none"/>
        </w:rPr>
        <w:t>〕141号）规定的残疾人福利性单位（以下简称：</w:t>
      </w:r>
      <w:r>
        <w:rPr>
          <w:rFonts w:cs="宋体" w:asciiTheme="minorEastAsia" w:hAnsiTheme="minorEastAsia" w:eastAsiaTheme="minorEastAsia"/>
          <w:bCs/>
          <w:color w:val="auto"/>
          <w:kern w:val="0"/>
          <w:sz w:val="24"/>
          <w:highlight w:val="none"/>
        </w:rPr>
        <w:t>“残疾人福利性单位”</w:t>
      </w:r>
      <w:r>
        <w:rPr>
          <w:rFonts w:cs="宋体" w:asciiTheme="minorEastAsia" w:hAnsiTheme="minorEastAsia" w:eastAsiaTheme="minorEastAsia"/>
          <w:color w:val="auto"/>
          <w:kern w:val="0"/>
          <w:sz w:val="24"/>
          <w:highlight w:val="none"/>
        </w:rPr>
        <w:t>）亦可享受前述扶持政策。其中：</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（1）中小企业指符合下列条件的中型、小型、微型企业：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①</w:t>
      </w:r>
      <w:r>
        <w:rPr>
          <w:rFonts w:cs="宋体" w:asciiTheme="minorEastAsia" w:hAnsiTheme="minorEastAsia" w:eastAsiaTheme="minorEastAsia"/>
          <w:color w:val="auto"/>
          <w:kern w:val="0"/>
          <w:sz w:val="24"/>
          <w:highlight w:val="none"/>
        </w:rPr>
        <w:t>符合《工业和信息化部、国家统计局、国家发展和改革委员会、财政部关于印发中小企业划型标准规定的通知》（工信部联企业〔20</w:t>
      </w:r>
      <w:r>
        <w:rPr>
          <w:rFonts w:hint="eastAsia" w:cs="宋体" w:asciiTheme="minorEastAsia" w:hAnsiTheme="minorEastAsia" w:eastAsiaTheme="minorEastAsia"/>
          <w:color w:val="auto"/>
          <w:kern w:val="0"/>
          <w:sz w:val="24"/>
          <w:highlight w:val="none"/>
        </w:rPr>
        <w:t>11</w:t>
      </w:r>
      <w:r>
        <w:rPr>
          <w:rFonts w:cs="宋体" w:asciiTheme="minorEastAsia" w:hAnsiTheme="minorEastAsia" w:eastAsiaTheme="minorEastAsia"/>
          <w:color w:val="auto"/>
          <w:kern w:val="0"/>
          <w:sz w:val="24"/>
          <w:highlight w:val="none"/>
        </w:rPr>
        <w:t>〕</w:t>
      </w:r>
      <w:r>
        <w:rPr>
          <w:rFonts w:cs="Calibri" w:asciiTheme="minorEastAsia" w:hAnsiTheme="minorEastAsia" w:eastAsiaTheme="minorEastAsia"/>
          <w:color w:val="auto"/>
          <w:kern w:val="0"/>
          <w:sz w:val="24"/>
          <w:highlight w:val="none"/>
        </w:rPr>
        <w:t>300</w:t>
      </w:r>
      <w:r>
        <w:rPr>
          <w:rFonts w:cs="宋体" w:asciiTheme="minorEastAsia" w:hAnsiTheme="minorEastAsia" w:eastAsiaTheme="minorEastAsia"/>
          <w:color w:val="auto"/>
          <w:kern w:val="0"/>
          <w:sz w:val="24"/>
          <w:highlight w:val="none"/>
        </w:rPr>
        <w:t>号）规定的划分标准，</w:t>
      </w:r>
      <w:r>
        <w:rPr>
          <w:rFonts w:cs="Calibri" w:asciiTheme="minorEastAsia" w:hAnsiTheme="minorEastAsia" w:eastAsiaTheme="minorEastAsia"/>
          <w:color w:val="auto"/>
          <w:kern w:val="0"/>
          <w:sz w:val="24"/>
          <w:highlight w:val="none"/>
        </w:rPr>
        <w:t>但与大企业的负责人为同一人，或者与大企业存在直接控股、管理关系的除外</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②</w:t>
      </w:r>
      <w:r>
        <w:rPr>
          <w:rFonts w:cs="Calibri" w:asciiTheme="minorEastAsia" w:hAnsiTheme="minorEastAsia" w:eastAsiaTheme="minorEastAsia"/>
          <w:color w:val="auto"/>
          <w:kern w:val="0"/>
          <w:sz w:val="24"/>
          <w:highlight w:val="none"/>
        </w:rPr>
        <w:t>符合中小企业划分标准的个体工商户，在采购活动中视同中小企业。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w:t>
      </w:r>
      <w:r>
        <w:rPr>
          <w:rFonts w:cs="Calibri" w:asciiTheme="minorEastAsia" w:hAnsiTheme="minorEastAsia" w:eastAsiaTheme="minorEastAsia"/>
          <w:color w:val="auto"/>
          <w:kern w:val="0"/>
          <w:sz w:val="24"/>
          <w:highlight w:val="none"/>
        </w:rPr>
        <w:t>在采购活动中，供应商提供的货物、工程或者服务符合下列情形的，享受本办法规定的中小企业扶持政策：</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①</w:t>
      </w:r>
      <w:r>
        <w:rPr>
          <w:rFonts w:cs="宋体" w:asciiTheme="minorEastAsia" w:hAnsiTheme="minorEastAsia" w:eastAsiaTheme="minorEastAsia"/>
          <w:color w:val="auto"/>
          <w:kern w:val="0"/>
          <w:sz w:val="24"/>
          <w:highlight w:val="none"/>
        </w:rPr>
        <w:t>在货物采购项目中，货物由中小企业制造，即货物由中小企业生产且使用该中小企业商号或者注册商标；</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②</w:t>
      </w:r>
      <w:r>
        <w:rPr>
          <w:rFonts w:cs="宋体" w:asciiTheme="minorEastAsia" w:hAnsiTheme="minorEastAsia" w:eastAsiaTheme="minorEastAsia"/>
          <w:color w:val="auto"/>
          <w:kern w:val="0"/>
          <w:sz w:val="24"/>
          <w:highlight w:val="none"/>
        </w:rPr>
        <w:t>在工程采购项目中，工程由中小企业承建，即工程施工单位为中小企业；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③</w:t>
      </w:r>
      <w:r>
        <w:rPr>
          <w:rFonts w:cs="宋体" w:asciiTheme="minorEastAsia" w:hAnsiTheme="minorEastAsia" w:eastAsiaTheme="minorEastAsia"/>
          <w:color w:val="auto"/>
          <w:kern w:val="0"/>
          <w:sz w:val="24"/>
          <w:highlight w:val="none"/>
        </w:rPr>
        <w:t>在服务采购项目中，服务由中小企业承接，即提供服务的人员为中小企业依照《中华人民共和国劳动合同法》订立劳动合同的从业人员。</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在货物采购项目中，供应商提供的货物既有中小企业制造货物，也有大型企业制造货物的，不享受本办法规定的中小企业扶持政策。</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以联合体形式参加采购活动，联合体各方均为中小企业的，联合体视同中小企业。其中，联合体各方均为小微企业的，联合体视同小微企业。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①</w:t>
      </w:r>
      <w:r>
        <w:rPr>
          <w:rFonts w:cs="宋体" w:asciiTheme="minorEastAsia" w:hAnsiTheme="minorEastAsia" w:eastAsiaTheme="minorEastAsia"/>
          <w:color w:val="auto"/>
          <w:kern w:val="0"/>
          <w:sz w:val="24"/>
          <w:highlight w:val="none"/>
        </w:rPr>
        <w:t>监狱企业参加采购活动时，应提供由省级以上监狱管理局、戒毒管理局（含新疆生产建设兵团）出具的属于监狱企业的证明文件。</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②</w:t>
      </w:r>
      <w:r>
        <w:rPr>
          <w:rFonts w:cs="宋体" w:asciiTheme="minorEastAsia" w:hAnsiTheme="minorEastAsia" w:eastAsiaTheme="minorEastAsia"/>
          <w:color w:val="auto"/>
          <w:kern w:val="0"/>
          <w:sz w:val="24"/>
          <w:highlight w:val="none"/>
        </w:rPr>
        <w:t>监狱企业视同小型、微型企业。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（4）残疾人福利性单位指同时符合下列条件的单位：</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①</w:t>
      </w:r>
      <w:r>
        <w:rPr>
          <w:rFonts w:cs="宋体" w:asciiTheme="minorEastAsia" w:hAnsiTheme="minorEastAsia" w:eastAsiaTheme="minorEastAsia"/>
          <w:color w:val="auto"/>
          <w:kern w:val="0"/>
          <w:sz w:val="24"/>
          <w:highlight w:val="none"/>
        </w:rPr>
        <w:t>安置的残疾人占本单位在职职工人数的比例不低于</w:t>
      </w:r>
      <w:r>
        <w:rPr>
          <w:rFonts w:cs="Calibri" w:asciiTheme="minorEastAsia" w:hAnsiTheme="minorEastAsia" w:eastAsiaTheme="minorEastAsia"/>
          <w:color w:val="auto"/>
          <w:kern w:val="0"/>
          <w:sz w:val="24"/>
          <w:highlight w:val="none"/>
        </w:rPr>
        <w:t>25%</w:t>
      </w:r>
      <w:r>
        <w:rPr>
          <w:rFonts w:cs="宋体" w:asciiTheme="minorEastAsia" w:hAnsiTheme="minorEastAsia" w:eastAsiaTheme="minorEastAsia"/>
          <w:color w:val="auto"/>
          <w:kern w:val="0"/>
          <w:sz w:val="24"/>
          <w:highlight w:val="none"/>
        </w:rPr>
        <w:t>（含</w:t>
      </w:r>
      <w:r>
        <w:rPr>
          <w:rFonts w:cs="Calibri" w:asciiTheme="minorEastAsia" w:hAnsiTheme="minorEastAsia" w:eastAsiaTheme="minorEastAsia"/>
          <w:color w:val="auto"/>
          <w:kern w:val="0"/>
          <w:sz w:val="24"/>
          <w:highlight w:val="none"/>
        </w:rPr>
        <w:t>25%</w:t>
      </w:r>
      <w:r>
        <w:rPr>
          <w:rFonts w:cs="宋体" w:asciiTheme="minorEastAsia" w:hAnsiTheme="minorEastAsia" w:eastAsiaTheme="minorEastAsia"/>
          <w:color w:val="auto"/>
          <w:kern w:val="0"/>
          <w:sz w:val="24"/>
          <w:highlight w:val="none"/>
        </w:rPr>
        <w:t>），并且安置的残疾人人数不少于</w:t>
      </w:r>
      <w:r>
        <w:rPr>
          <w:rFonts w:cs="Calibri" w:asciiTheme="minorEastAsia" w:hAnsiTheme="minorEastAsia" w:eastAsiaTheme="minorEastAsia"/>
          <w:color w:val="auto"/>
          <w:kern w:val="0"/>
          <w:sz w:val="24"/>
          <w:highlight w:val="none"/>
        </w:rPr>
        <w:t>10</w:t>
      </w:r>
      <w:r>
        <w:rPr>
          <w:rFonts w:cs="宋体" w:asciiTheme="minorEastAsia" w:hAnsiTheme="minorEastAsia" w:eastAsiaTheme="minorEastAsia"/>
          <w:color w:val="auto"/>
          <w:kern w:val="0"/>
          <w:sz w:val="24"/>
          <w:highlight w:val="none"/>
        </w:rPr>
        <w:t>人（含</w:t>
      </w:r>
      <w:r>
        <w:rPr>
          <w:rFonts w:cs="Calibri" w:asciiTheme="minorEastAsia" w:hAnsiTheme="minorEastAsia" w:eastAsiaTheme="minorEastAsia"/>
          <w:color w:val="auto"/>
          <w:kern w:val="0"/>
          <w:sz w:val="24"/>
          <w:highlight w:val="none"/>
        </w:rPr>
        <w:t>10</w:t>
      </w:r>
      <w:r>
        <w:rPr>
          <w:rFonts w:cs="宋体" w:asciiTheme="minorEastAsia" w:hAnsiTheme="minorEastAsia" w:eastAsiaTheme="minorEastAsia"/>
          <w:color w:val="auto"/>
          <w:kern w:val="0"/>
          <w:sz w:val="24"/>
          <w:highlight w:val="none"/>
        </w:rPr>
        <w:t>人）；</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②</w:t>
      </w:r>
      <w:r>
        <w:rPr>
          <w:rFonts w:cs="宋体" w:asciiTheme="minorEastAsia" w:hAnsiTheme="minorEastAsia" w:eastAsiaTheme="minorEastAsia"/>
          <w:color w:val="auto"/>
          <w:kern w:val="0"/>
          <w:sz w:val="24"/>
          <w:highlight w:val="none"/>
        </w:rPr>
        <w:t>依法与安置的每位残疾人签订了一年以上（含一年）的劳动合同或服务协议；</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③</w:t>
      </w:r>
      <w:r>
        <w:rPr>
          <w:rFonts w:cs="宋体" w:asciiTheme="minorEastAsia" w:hAnsiTheme="minorEastAsia" w:eastAsiaTheme="minorEastAsia"/>
          <w:color w:val="auto"/>
          <w:kern w:val="0"/>
          <w:sz w:val="24"/>
          <w:highlight w:val="none"/>
        </w:rPr>
        <w:t>为安置的每位残疾人按月足额缴纳了基本养老保险、基本医疗保险、失业保险、工伤保险和生育保险等社会保险费；</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④</w:t>
      </w:r>
      <w:r>
        <w:rPr>
          <w:rFonts w:cs="宋体" w:asciiTheme="minorEastAsia" w:hAnsiTheme="minorEastAsia" w:eastAsiaTheme="minorEastAsia"/>
          <w:color w:val="auto"/>
          <w:kern w:val="0"/>
          <w:sz w:val="24"/>
          <w:highlight w:val="none"/>
        </w:rPr>
        <w:t>通过银行等金融机构向安置的每位残疾人，按月支付了不低于单位所在区县适用的经省级人民政府批准的月最低工资标准的工资；</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⑤</w:t>
      </w:r>
      <w:r>
        <w:rPr>
          <w:rFonts w:cs="宋体" w:asciiTheme="minorEastAsia" w:hAnsiTheme="minorEastAsia" w:eastAsiaTheme="minorEastAsia"/>
          <w:color w:val="auto"/>
          <w:kern w:val="0"/>
          <w:sz w:val="24"/>
          <w:highlight w:val="none"/>
        </w:rPr>
        <w:t>提供本单位制造的货物、承担的工程或服务，或提供其他残疾人福利性单位制造的货物（不包括使用非残疾人福利性单位注册商标的货物）。</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前款所称残疾人指法定劳动年龄内，持有《中华人民共和国残疾人证》或《中华人民共和国残疾军人证（1至</w:t>
      </w:r>
      <w:r>
        <w:rPr>
          <w:rFonts w:cs="Calibri" w:asciiTheme="minorEastAsia" w:hAnsiTheme="minorEastAsia" w:eastAsiaTheme="minorEastAsia"/>
          <w:color w:val="auto"/>
          <w:kern w:val="0"/>
          <w:sz w:val="24"/>
          <w:highlight w:val="none"/>
        </w:rPr>
        <w:t>8</w:t>
      </w:r>
      <w:r>
        <w:rPr>
          <w:rFonts w:cs="宋体" w:asciiTheme="minorEastAsia" w:hAnsiTheme="minorEastAsia" w:eastAsiaTheme="minorEastAsia"/>
          <w:color w:val="auto"/>
          <w:kern w:val="0"/>
          <w:sz w:val="24"/>
          <w:highlight w:val="none"/>
        </w:rPr>
        <w:t>级）》的自然人，包括具有劳动条件和劳动意愿的精神残疾人。在职职工人数是指与残疾人福利性单位建立劳动关系并依法签订劳动合同或服务协议的雇员人数。</w:t>
      </w:r>
    </w:p>
    <w:p>
      <w:pPr>
        <w:widowControl/>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（5）享受中小企业扶持政策获得采购合同的，小微企业不得将合同分包给大中型企业，中型企业不得将合同分包给大型企业。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24.5</w:t>
      </w:r>
      <w:r>
        <w:rPr>
          <w:rFonts w:cs="宋体" w:asciiTheme="minorEastAsia" w:hAnsiTheme="minorEastAsia" w:eastAsiaTheme="minorEastAsia"/>
          <w:color w:val="auto"/>
          <w:kern w:val="0"/>
          <w:sz w:val="24"/>
          <w:highlight w:val="none"/>
        </w:rPr>
        <w:t>为落实采购政策需满足的要求：详见</w:t>
      </w:r>
      <w:r>
        <w:rPr>
          <w:rFonts w:hint="eastAsia" w:cs="宋体" w:asciiTheme="minorEastAsia" w:hAnsiTheme="minorEastAsia" w:eastAsiaTheme="minorEastAsia"/>
          <w:color w:val="auto"/>
          <w:kern w:val="0"/>
          <w:sz w:val="24"/>
          <w:highlight w:val="none"/>
        </w:rPr>
        <w:t>磋商</w:t>
      </w:r>
      <w:r>
        <w:rPr>
          <w:rFonts w:cs="宋体" w:asciiTheme="minorEastAsia" w:hAnsiTheme="minorEastAsia" w:eastAsiaTheme="minorEastAsia"/>
          <w:color w:val="auto"/>
          <w:kern w:val="0"/>
          <w:sz w:val="24"/>
          <w:highlight w:val="none"/>
        </w:rPr>
        <w:t>文件第</w:t>
      </w:r>
      <w:r>
        <w:rPr>
          <w:rFonts w:hint="eastAsia" w:cs="宋体" w:asciiTheme="minorEastAsia" w:hAnsiTheme="minorEastAsia" w:eastAsiaTheme="minorEastAsia"/>
          <w:color w:val="auto"/>
          <w:kern w:val="0"/>
          <w:sz w:val="24"/>
          <w:highlight w:val="none"/>
        </w:rPr>
        <w:t>二</w:t>
      </w:r>
      <w:r>
        <w:rPr>
          <w:rFonts w:cs="宋体" w:asciiTheme="minorEastAsia" w:hAnsiTheme="minorEastAsia" w:eastAsiaTheme="minorEastAsia"/>
          <w:color w:val="auto"/>
          <w:kern w:val="0"/>
          <w:sz w:val="24"/>
          <w:highlight w:val="none"/>
        </w:rPr>
        <w:t>章。</w:t>
      </w:r>
    </w:p>
    <w:p>
      <w:pPr>
        <w:pStyle w:val="4"/>
        <w:rPr>
          <w:color w:val="auto"/>
          <w:szCs w:val="16"/>
          <w:highlight w:val="none"/>
        </w:rPr>
        <w:sectPr>
          <w:pgSz w:w="11906" w:h="16838"/>
          <w:pgMar w:top="1418" w:right="1418" w:bottom="1418" w:left="1418" w:header="851" w:footer="992" w:gutter="0"/>
          <w:pgNumType w:fmt="decimal"/>
          <w:cols w:space="720" w:num="1"/>
          <w:titlePg/>
          <w:docGrid w:linePitch="312" w:charSpace="0"/>
        </w:sectPr>
      </w:pPr>
    </w:p>
    <w:p>
      <w:pPr>
        <w:pStyle w:val="2"/>
        <w:spacing w:before="240" w:after="240"/>
        <w:rPr>
          <w:rFonts w:ascii="黑体" w:hAnsi="黑体"/>
          <w:color w:val="auto"/>
          <w:highlight w:val="none"/>
        </w:rPr>
      </w:pPr>
      <w:bookmarkStart w:id="14" w:name="_Toc77513649"/>
      <w:r>
        <w:rPr>
          <w:rFonts w:ascii="黑体" w:hAnsi="黑体"/>
          <w:color w:val="auto"/>
          <w:highlight w:val="none"/>
        </w:rPr>
        <w:t>第三章</w:t>
      </w:r>
      <w:r>
        <w:rPr>
          <w:rFonts w:hint="eastAsia" w:ascii="黑体" w:hAnsi="黑体"/>
          <w:color w:val="auto"/>
          <w:highlight w:val="none"/>
        </w:rPr>
        <w:t xml:space="preserve">  </w:t>
      </w:r>
      <w:r>
        <w:rPr>
          <w:rFonts w:ascii="黑体" w:hAnsi="黑体"/>
          <w:color w:val="auto"/>
          <w:highlight w:val="none"/>
        </w:rPr>
        <w:t>采购内容及要求</w:t>
      </w:r>
      <w:bookmarkEnd w:id="14"/>
    </w:p>
    <w:p>
      <w:pPr>
        <w:pStyle w:val="3"/>
        <w:spacing w:before="240" w:after="240"/>
        <w:jc w:val="left"/>
        <w:rPr>
          <w:rFonts w:ascii="宋体" w:hAnsi="宋体" w:eastAsia="宋体" w:cs="Times New Roman"/>
          <w:b/>
          <w:bCs/>
          <w:kern w:val="0"/>
        </w:rPr>
      </w:pPr>
      <w:r>
        <w:rPr>
          <w:rFonts w:ascii="宋体" w:hAnsi="宋体" w:eastAsia="宋体" w:cs="Times New Roman"/>
          <w:b/>
          <w:bCs/>
          <w:kern w:val="0"/>
        </w:rPr>
        <w:t>一、</w:t>
      </w:r>
      <w:r>
        <w:rPr>
          <w:rFonts w:hint="eastAsia" w:ascii="宋体" w:hAnsi="宋体" w:eastAsia="宋体" w:cs="Times New Roman"/>
          <w:b/>
          <w:bCs/>
          <w:kern w:val="0"/>
        </w:rPr>
        <w:t>项目概况</w:t>
      </w:r>
    </w:p>
    <w:p>
      <w:pPr>
        <w:pStyle w:val="37"/>
        <w:ind w:firstLine="480" w:firstLineChars="200"/>
        <w:rPr>
          <w:rFonts w:hint="default" w:cs="宋体" w:asciiTheme="minorEastAsia" w:hAnsiTheme="minorEastAsia" w:eastAsiaTheme="minorEastAsia"/>
          <w:color w:val="auto"/>
          <w:kern w:val="0"/>
          <w:sz w:val="24"/>
          <w:highlight w:val="none"/>
          <w:lang w:val="en-US" w:eastAsia="zh-CN"/>
        </w:rPr>
      </w:pPr>
      <w:r>
        <w:rPr>
          <w:rFonts w:hint="default" w:cs="宋体" w:asciiTheme="minorEastAsia" w:hAnsiTheme="minorEastAsia" w:eastAsiaTheme="minorEastAsia"/>
          <w:color w:val="auto"/>
          <w:kern w:val="0"/>
          <w:sz w:val="24"/>
          <w:highlight w:val="none"/>
          <w:lang w:val="en-US" w:eastAsia="zh-CN"/>
        </w:rPr>
        <w:t>厦门市智慧民政一体化平台主要承载的业务是民政内部工作业务如智慧民政综合服务门户、社会组织管理等。平台部署在厦门市政务云服务平台(移动云)和厦门市浪潮政务云平台，部署了防火墙、IPS、IDS、DDos 防护等安全设备进行安全防护。平台安全等级保护三级。本项目针对厦门市智慧民政一体化平台</w:t>
      </w:r>
      <w:r>
        <w:t>网络安全等级保护测评整改和商用密码应用改造</w:t>
      </w:r>
      <w:r>
        <w:rPr>
          <w:rFonts w:hint="default" w:cs="宋体" w:asciiTheme="minorEastAsia" w:hAnsiTheme="minorEastAsia" w:eastAsiaTheme="minorEastAsia"/>
          <w:color w:val="auto"/>
          <w:kern w:val="0"/>
          <w:sz w:val="24"/>
          <w:highlight w:val="none"/>
          <w:lang w:val="en-US" w:eastAsia="zh-CN"/>
        </w:rPr>
        <w:t>。将切合国家网络安全政策要求，同时将有力地消除密码安全隐患，提升厦门市智慧民政一体化平台综合防护能力。</w:t>
      </w:r>
    </w:p>
    <w:p>
      <w:pPr>
        <w:pStyle w:val="3"/>
        <w:spacing w:before="240" w:after="240"/>
        <w:jc w:val="left"/>
        <w:rPr>
          <w:kern w:val="0"/>
        </w:rPr>
      </w:pPr>
      <w:bookmarkStart w:id="15" w:name="_Toc147744013"/>
      <w:bookmarkStart w:id="16" w:name="_Toc61119826"/>
      <w:r>
        <w:rPr>
          <w:kern w:val="0"/>
        </w:rPr>
        <w:t>二、技术和服务要求</w:t>
      </w:r>
      <w:bookmarkEnd w:id="15"/>
      <w:bookmarkEnd w:id="16"/>
    </w:p>
    <w:p>
      <w:pPr>
        <w:spacing w:line="360" w:lineRule="auto"/>
        <w:jc w:val="left"/>
        <w:rPr>
          <w:rFonts w:hint="eastAsia" w:ascii="宋体" w:hAnsi="宋体"/>
          <w:sz w:val="24"/>
          <w:lang w:val="en-US" w:eastAsia="zh-CN"/>
        </w:rPr>
      </w:pPr>
      <w:r>
        <w:rPr>
          <w:rFonts w:hint="eastAsia" w:ascii="宋体" w:hAnsi="宋体"/>
          <w:sz w:val="24"/>
          <w:lang w:val="en-US" w:eastAsia="zh-CN"/>
        </w:rPr>
        <w:t>2.1、</w:t>
      </w:r>
      <w:r>
        <w:rPr>
          <w:rFonts w:hint="eastAsia" w:ascii="宋体" w:hAnsi="宋体"/>
          <w:b/>
          <w:bCs/>
          <w:sz w:val="24"/>
        </w:rPr>
        <w:t>网络安全等级保护测评整改</w:t>
      </w:r>
    </w:p>
    <w:p>
      <w:pPr>
        <w:spacing w:line="360" w:lineRule="auto"/>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2.1.1安全通信网络方面</w:t>
      </w:r>
    </w:p>
    <w:p>
      <w:pPr>
        <w:numPr>
          <w:ilvl w:val="0"/>
          <w:numId w:val="1"/>
        </w:numPr>
        <w:spacing w:line="360" w:lineRule="auto"/>
        <w:ind w:left="425" w:leftChars="0" w:hanging="425" w:firstLineChars="0"/>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部分MySQL数据库未采用校验技术保证通信过程中数据的完整性</w:t>
      </w:r>
    </w:p>
    <w:p>
      <w:pPr>
        <w:spacing w:line="360" w:lineRule="auto"/>
        <w:ind w:firstLine="480"/>
        <w:jc w:val="left"/>
        <w:rPr>
          <w:rFonts w:hint="eastAsia" w:ascii="宋体" w:hAnsi="宋体" w:eastAsia="宋体" w:cs="Times New Roman"/>
          <w:sz w:val="24"/>
          <w:lang w:val="en-US" w:eastAsia="zh-CN"/>
        </w:rPr>
      </w:pPr>
      <w:r>
        <w:rPr>
          <w:rFonts w:hint="eastAsia" w:eastAsia="仿宋" w:cs="华文楷体"/>
          <w:b/>
          <w:bCs/>
          <w:sz w:val="21"/>
          <w:szCs w:val="21"/>
          <w:lang w:eastAsia="zh-CN"/>
        </w:rPr>
        <w:t>（</w:t>
      </w:r>
      <w:r>
        <w:rPr>
          <w:rFonts w:hint="eastAsia" w:ascii="宋体" w:hAnsi="宋体"/>
          <w:b/>
          <w:bCs/>
          <w:color w:val="000000"/>
          <w:kern w:val="0"/>
          <w:szCs w:val="21"/>
          <w:lang w:val="en-US" w:eastAsia="zh-CN"/>
        </w:rPr>
        <w:t>指标１</w:t>
      </w:r>
      <w:r>
        <w:rPr>
          <w:rFonts w:hint="eastAsia" w:eastAsia="仿宋" w:cs="华文楷体"/>
          <w:b/>
          <w:bCs/>
          <w:sz w:val="21"/>
          <w:szCs w:val="21"/>
          <w:lang w:eastAsia="zh-CN"/>
        </w:rPr>
        <w:t>）</w:t>
      </w:r>
      <w:r>
        <w:rPr>
          <w:rFonts w:hint="eastAsia" w:ascii="宋体" w:hAnsi="宋体" w:eastAsia="宋体" w:cs="Times New Roman"/>
          <w:sz w:val="24"/>
          <w:lang w:val="en-US" w:eastAsia="zh-CN"/>
        </w:rPr>
        <w:t>改进要求:采取经国家密码主管部门认可的密码技术，保证重要数据在网络通信过程中的完整性。</w:t>
      </w:r>
    </w:p>
    <w:p>
      <w:pPr>
        <w:numPr>
          <w:ilvl w:val="0"/>
          <w:numId w:val="1"/>
        </w:numPr>
        <w:spacing w:line="360" w:lineRule="auto"/>
        <w:ind w:left="425" w:leftChars="0" w:hanging="425" w:firstLineChars="0"/>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部分MySQL数据库采用了易破解SHA-1密码算法</w:t>
      </w:r>
    </w:p>
    <w:p>
      <w:pPr>
        <w:spacing w:line="360" w:lineRule="auto"/>
        <w:ind w:firstLine="480"/>
        <w:jc w:val="left"/>
        <w:rPr>
          <w:rFonts w:hint="eastAsia" w:ascii="宋体" w:hAnsi="宋体" w:eastAsia="宋体" w:cs="Times New Roman"/>
          <w:sz w:val="24"/>
          <w:lang w:val="en-US" w:eastAsia="zh-CN"/>
        </w:rPr>
      </w:pPr>
      <w:r>
        <w:rPr>
          <w:rFonts w:hint="eastAsia" w:eastAsia="仿宋" w:cs="华文楷体"/>
          <w:b/>
          <w:bCs/>
          <w:sz w:val="21"/>
          <w:szCs w:val="21"/>
          <w:lang w:eastAsia="zh-CN"/>
        </w:rPr>
        <w:t>（</w:t>
      </w:r>
      <w:r>
        <w:rPr>
          <w:rFonts w:hint="eastAsia" w:ascii="宋体" w:hAnsi="宋体"/>
          <w:b/>
          <w:bCs/>
          <w:color w:val="000000"/>
          <w:kern w:val="0"/>
          <w:szCs w:val="21"/>
          <w:lang w:val="en-US" w:eastAsia="zh-CN"/>
        </w:rPr>
        <w:t>指标2</w:t>
      </w:r>
      <w:r>
        <w:rPr>
          <w:rFonts w:hint="eastAsia" w:eastAsia="仿宋" w:cs="华文楷体"/>
          <w:b/>
          <w:bCs/>
          <w:sz w:val="21"/>
          <w:szCs w:val="21"/>
          <w:lang w:eastAsia="zh-CN"/>
        </w:rPr>
        <w:t>）</w:t>
      </w:r>
      <w:r>
        <w:rPr>
          <w:rFonts w:hint="eastAsia" w:ascii="宋体" w:hAnsi="宋体" w:eastAsia="宋体" w:cs="Times New Roman"/>
          <w:sz w:val="24"/>
          <w:lang w:val="en-US" w:eastAsia="zh-CN"/>
        </w:rPr>
        <w:t>改进要求:采用强密码算法确保重要数据在传输过程中的保密性，相关密码技术应符合国家密码管理主管部门的规定。</w:t>
      </w:r>
    </w:p>
    <w:p>
      <w:pPr>
        <w:spacing w:line="360" w:lineRule="auto"/>
        <w:jc w:val="left"/>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2.1.2安全计算环境方面</w:t>
      </w:r>
    </w:p>
    <w:p>
      <w:pPr>
        <w:numPr>
          <w:ilvl w:val="0"/>
          <w:numId w:val="1"/>
        </w:numPr>
        <w:spacing w:line="360" w:lineRule="auto"/>
        <w:ind w:left="425" w:leftChars="0" w:hanging="425" w:firstLineChars="0"/>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平台未采用两种或两种以上组合的鉴别技术</w:t>
      </w:r>
    </w:p>
    <w:p>
      <w:pPr>
        <w:widowControl w:val="0"/>
        <w:numPr>
          <w:ilvl w:val="0"/>
          <w:numId w:val="0"/>
        </w:numPr>
        <w:spacing w:line="360" w:lineRule="auto"/>
        <w:ind w:firstLine="421" w:firstLineChars="200"/>
        <w:rPr>
          <w:rFonts w:hint="eastAsia"/>
          <w:lang w:eastAsia="zh-CN"/>
        </w:rPr>
      </w:pPr>
      <w:r>
        <w:rPr>
          <w:rFonts w:hint="eastAsia" w:eastAsia="仿宋" w:cs="华文楷体"/>
          <w:b/>
          <w:bCs/>
          <w:sz w:val="21"/>
          <w:szCs w:val="21"/>
          <w:lang w:eastAsia="zh-CN"/>
        </w:rPr>
        <w:t>（</w:t>
      </w:r>
      <w:r>
        <w:rPr>
          <w:rFonts w:hint="eastAsia" w:ascii="宋体" w:hAnsi="宋体"/>
          <w:b/>
          <w:bCs/>
          <w:color w:val="000000"/>
          <w:kern w:val="0"/>
          <w:szCs w:val="21"/>
          <w:lang w:val="en-US" w:eastAsia="zh-CN"/>
        </w:rPr>
        <w:t>指标3</w:t>
      </w:r>
      <w:r>
        <w:rPr>
          <w:rFonts w:hint="eastAsia" w:eastAsia="仿宋" w:cs="华文楷体"/>
          <w:b/>
          <w:bCs/>
          <w:sz w:val="21"/>
          <w:szCs w:val="21"/>
          <w:lang w:eastAsia="zh-CN"/>
        </w:rPr>
        <w:t>）</w:t>
      </w:r>
      <w:r>
        <w:rPr>
          <w:rFonts w:hint="eastAsia"/>
          <w:lang w:eastAsia="zh-CN"/>
        </w:rPr>
        <w:t>改进要求:对系统采用两种或两种以上组合的鉴别技术实现用户身份鉴别，如:账户密码+数字证书、账户密码+令牌等。</w:t>
      </w:r>
    </w:p>
    <w:p>
      <w:pPr>
        <w:numPr>
          <w:ilvl w:val="0"/>
          <w:numId w:val="1"/>
        </w:numPr>
        <w:spacing w:line="360" w:lineRule="auto"/>
        <w:ind w:left="425" w:leftChars="0" w:hanging="425" w:firstLineChars="0"/>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平台未对重要主体和客体设置安全标记，并控制主体对有安全标记信息资源的访问</w:t>
      </w:r>
    </w:p>
    <w:p>
      <w:pPr>
        <w:widowControl w:val="0"/>
        <w:numPr>
          <w:ilvl w:val="0"/>
          <w:numId w:val="0"/>
        </w:numPr>
        <w:spacing w:line="360" w:lineRule="auto"/>
        <w:ind w:firstLine="421" w:firstLineChars="200"/>
        <w:rPr>
          <w:rFonts w:hint="eastAsia"/>
          <w:lang w:eastAsia="zh-CN"/>
        </w:rPr>
      </w:pPr>
      <w:r>
        <w:rPr>
          <w:rFonts w:hint="eastAsia" w:eastAsia="仿宋" w:cs="华文楷体"/>
          <w:b/>
          <w:bCs/>
          <w:sz w:val="21"/>
          <w:szCs w:val="21"/>
          <w:lang w:eastAsia="zh-CN"/>
        </w:rPr>
        <w:t>（</w:t>
      </w:r>
      <w:r>
        <w:rPr>
          <w:rFonts w:hint="eastAsia" w:ascii="宋体" w:hAnsi="宋体"/>
          <w:b/>
          <w:bCs/>
          <w:color w:val="000000"/>
          <w:kern w:val="0"/>
          <w:szCs w:val="21"/>
          <w:lang w:val="en-US" w:eastAsia="zh-CN"/>
        </w:rPr>
        <w:t>指标4</w:t>
      </w:r>
      <w:r>
        <w:rPr>
          <w:rFonts w:hint="eastAsia" w:eastAsia="仿宋" w:cs="华文楷体"/>
          <w:b/>
          <w:bCs/>
          <w:sz w:val="21"/>
          <w:szCs w:val="21"/>
          <w:lang w:eastAsia="zh-CN"/>
        </w:rPr>
        <w:t>）</w:t>
      </w:r>
      <w:r>
        <w:rPr>
          <w:rFonts w:hint="eastAsia"/>
          <w:lang w:eastAsia="zh-CN"/>
        </w:rPr>
        <w:t>改进要求:对重要主体和客体设置安全标记，并控制主体对有安全标记信息资源的访问。</w:t>
      </w:r>
    </w:p>
    <w:p>
      <w:pPr>
        <w:numPr>
          <w:ilvl w:val="0"/>
          <w:numId w:val="1"/>
        </w:numPr>
        <w:spacing w:line="360" w:lineRule="auto"/>
        <w:ind w:left="425" w:leftChars="0" w:hanging="425" w:firstLineChars="0"/>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平台未限制管理端接入地址</w:t>
      </w:r>
    </w:p>
    <w:p>
      <w:pPr>
        <w:widowControl w:val="0"/>
        <w:numPr>
          <w:ilvl w:val="0"/>
          <w:numId w:val="0"/>
        </w:numPr>
        <w:spacing w:line="360" w:lineRule="auto"/>
        <w:rPr>
          <w:rFonts w:hint="eastAsia"/>
          <w:lang w:eastAsia="zh-CN"/>
        </w:rPr>
      </w:pPr>
      <w:r>
        <w:rPr>
          <w:rFonts w:hint="eastAsia"/>
          <w:lang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指标5</w:t>
      </w:r>
      <w:r>
        <w:rPr>
          <w:rFonts w:hint="eastAsia" w:eastAsia="仿宋" w:cs="华文楷体"/>
          <w:b/>
          <w:bCs/>
          <w:sz w:val="21"/>
          <w:szCs w:val="21"/>
          <w:lang w:eastAsia="zh-CN"/>
        </w:rPr>
        <w:t>）</w:t>
      </w:r>
      <w:r>
        <w:rPr>
          <w:rFonts w:hint="eastAsia"/>
          <w:lang w:eastAsia="zh-CN"/>
        </w:rPr>
        <w:t>改进要求:限制可登录应用管理系统的管理终端地址，仅允许特定的地址访问。</w:t>
      </w:r>
    </w:p>
    <w:p>
      <w:pPr>
        <w:numPr>
          <w:ilvl w:val="0"/>
          <w:numId w:val="1"/>
        </w:numPr>
        <w:spacing w:line="360" w:lineRule="auto"/>
        <w:ind w:left="425" w:leftChars="0" w:hanging="425" w:firstLineChars="0"/>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平台未采用密码技术进行存储完整性验证</w:t>
      </w:r>
    </w:p>
    <w:p>
      <w:pPr>
        <w:widowControl w:val="0"/>
        <w:numPr>
          <w:ilvl w:val="0"/>
          <w:numId w:val="0"/>
        </w:numPr>
        <w:spacing w:line="360" w:lineRule="auto"/>
        <w:rPr>
          <w:rFonts w:hint="eastAsia"/>
          <w:lang w:eastAsia="zh-CN"/>
        </w:rPr>
      </w:pPr>
      <w:r>
        <w:rPr>
          <w:rFonts w:hint="eastAsia"/>
          <w:lang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指标6</w:t>
      </w:r>
      <w:r>
        <w:rPr>
          <w:rFonts w:hint="eastAsia" w:eastAsia="仿宋" w:cs="华文楷体"/>
          <w:b/>
          <w:bCs/>
          <w:sz w:val="21"/>
          <w:szCs w:val="21"/>
          <w:lang w:eastAsia="zh-CN"/>
        </w:rPr>
        <w:t>）</w:t>
      </w:r>
      <w:r>
        <w:rPr>
          <w:rFonts w:hint="eastAsia"/>
          <w:lang w:eastAsia="zh-CN"/>
        </w:rPr>
        <w:t>改进要求:对重要数据采用经国家密码主管部门认可的密码技术，保证其在存储过程中数据的完整性。</w:t>
      </w:r>
    </w:p>
    <w:p>
      <w:pPr>
        <w:numPr>
          <w:ilvl w:val="0"/>
          <w:numId w:val="1"/>
        </w:numPr>
        <w:spacing w:line="360" w:lineRule="auto"/>
        <w:ind w:left="425" w:leftChars="0" w:hanging="425" w:firstLineChars="0"/>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平台备份数据未定期抽样进行恢复测试</w:t>
      </w:r>
    </w:p>
    <w:p>
      <w:pPr>
        <w:widowControl w:val="0"/>
        <w:numPr>
          <w:ilvl w:val="0"/>
          <w:numId w:val="0"/>
        </w:numPr>
        <w:spacing w:line="360" w:lineRule="auto"/>
        <w:rPr>
          <w:rFonts w:hint="eastAsia"/>
          <w:lang w:eastAsia="zh-CN"/>
        </w:rPr>
      </w:pPr>
      <w:r>
        <w:rPr>
          <w:rFonts w:hint="eastAsia"/>
          <w:lang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指标7</w:t>
      </w:r>
      <w:r>
        <w:rPr>
          <w:rFonts w:hint="eastAsia" w:eastAsia="仿宋" w:cs="华文楷体"/>
          <w:b/>
          <w:bCs/>
          <w:sz w:val="21"/>
          <w:szCs w:val="21"/>
          <w:lang w:eastAsia="zh-CN"/>
        </w:rPr>
        <w:t>）</w:t>
      </w:r>
      <w:r>
        <w:rPr>
          <w:rFonts w:hint="eastAsia"/>
          <w:lang w:eastAsia="zh-CN"/>
        </w:rPr>
        <w:t>改进要求:定期对备份文件进行恢复测试，确保备份文件有效。</w:t>
      </w:r>
    </w:p>
    <w:p>
      <w:pPr>
        <w:numPr>
          <w:ilvl w:val="0"/>
          <w:numId w:val="1"/>
        </w:numPr>
        <w:spacing w:line="360" w:lineRule="auto"/>
        <w:ind w:left="425" w:leftChars="0" w:hanging="425" w:firstLineChars="0"/>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平台未提供异地数据定时备份功能</w:t>
      </w:r>
    </w:p>
    <w:p>
      <w:pPr>
        <w:widowControl w:val="0"/>
        <w:numPr>
          <w:ilvl w:val="0"/>
          <w:numId w:val="0"/>
        </w:numPr>
        <w:spacing w:line="360" w:lineRule="auto"/>
        <w:rPr>
          <w:rFonts w:hint="eastAsia"/>
          <w:lang w:eastAsia="zh-CN"/>
        </w:rPr>
      </w:pPr>
      <w:r>
        <w:rPr>
          <w:rFonts w:hint="eastAsia"/>
          <w:lang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指标8</w:t>
      </w:r>
      <w:r>
        <w:rPr>
          <w:rFonts w:hint="eastAsia" w:eastAsia="仿宋" w:cs="华文楷体"/>
          <w:b/>
          <w:bCs/>
          <w:sz w:val="21"/>
          <w:szCs w:val="21"/>
          <w:lang w:eastAsia="zh-CN"/>
        </w:rPr>
        <w:t>）</w:t>
      </w:r>
      <w:r>
        <w:rPr>
          <w:rFonts w:hint="eastAsia"/>
          <w:lang w:eastAsia="zh-CN"/>
        </w:rPr>
        <w:t>改进要求:利用通信网络将关键数据定时批量传送至备用场地，实现数据异地备份</w:t>
      </w:r>
    </w:p>
    <w:p>
      <w:pPr>
        <w:numPr>
          <w:ilvl w:val="0"/>
          <w:numId w:val="1"/>
        </w:numPr>
        <w:spacing w:line="360" w:lineRule="auto"/>
        <w:ind w:left="425" w:leftChars="0" w:hanging="425" w:firstLineChars="0"/>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平台未采用可信验证技术</w:t>
      </w:r>
    </w:p>
    <w:p>
      <w:pPr>
        <w:widowControl w:val="0"/>
        <w:numPr>
          <w:ilvl w:val="0"/>
          <w:numId w:val="0"/>
        </w:numPr>
        <w:spacing w:line="360" w:lineRule="auto"/>
        <w:rPr>
          <w:rFonts w:hint="eastAsia"/>
          <w:lang w:eastAsia="zh-CN"/>
        </w:rPr>
      </w:pPr>
      <w:r>
        <w:rPr>
          <w:rFonts w:hint="eastAsia"/>
          <w:lang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指标9</w:t>
      </w:r>
      <w:r>
        <w:rPr>
          <w:rFonts w:hint="eastAsia" w:eastAsia="仿宋" w:cs="华文楷体"/>
          <w:b/>
          <w:bCs/>
          <w:sz w:val="21"/>
          <w:szCs w:val="21"/>
          <w:lang w:eastAsia="zh-CN"/>
        </w:rPr>
        <w:t>）</w:t>
      </w:r>
      <w:r>
        <w:rPr>
          <w:rFonts w:hint="eastAsia"/>
          <w:lang w:eastAsia="zh-CN"/>
        </w:rPr>
        <w:t>改进要求:在终端安装可信根芯片或硬件，并能够在其可信性受到破坏后进行报警，且将验证结果形成审计记录送至安全管理中心。</w:t>
      </w:r>
    </w:p>
    <w:p>
      <w:pPr>
        <w:numPr>
          <w:ilvl w:val="0"/>
          <w:numId w:val="1"/>
        </w:numPr>
        <w:spacing w:line="360" w:lineRule="auto"/>
        <w:ind w:left="425" w:leftChars="0" w:hanging="425" w:firstLineChars="0"/>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平台日志留存时间不足六个月</w:t>
      </w:r>
    </w:p>
    <w:p>
      <w:pPr>
        <w:widowControl w:val="0"/>
        <w:numPr>
          <w:ilvl w:val="0"/>
          <w:numId w:val="0"/>
        </w:numPr>
        <w:spacing w:line="360" w:lineRule="auto"/>
        <w:rPr>
          <w:rFonts w:hint="eastAsia"/>
          <w:lang w:eastAsia="zh-CN"/>
        </w:rPr>
      </w:pPr>
      <w:r>
        <w:rPr>
          <w:rFonts w:hint="eastAsia"/>
          <w:lang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指标10</w:t>
      </w:r>
      <w:r>
        <w:rPr>
          <w:rFonts w:hint="eastAsia" w:eastAsia="仿宋" w:cs="华文楷体"/>
          <w:b/>
          <w:bCs/>
          <w:sz w:val="21"/>
          <w:szCs w:val="21"/>
          <w:lang w:eastAsia="zh-CN"/>
        </w:rPr>
        <w:t>）</w:t>
      </w:r>
      <w:r>
        <w:rPr>
          <w:rFonts w:hint="eastAsia"/>
          <w:lang w:eastAsia="zh-CN"/>
        </w:rPr>
        <w:t>改进要求:应采取措施对审计记录进行保护，定期进行备份，记录至少保存六个月。</w:t>
      </w:r>
    </w:p>
    <w:p>
      <w:pPr>
        <w:numPr>
          <w:ilvl w:val="0"/>
          <w:numId w:val="1"/>
        </w:numPr>
        <w:spacing w:line="360" w:lineRule="auto"/>
        <w:ind w:left="425" w:leftChars="0" w:hanging="425" w:firstLineChars="0"/>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备份数据未定期抽样进行恢复测试</w:t>
      </w:r>
    </w:p>
    <w:p>
      <w:pPr>
        <w:widowControl w:val="0"/>
        <w:numPr>
          <w:ilvl w:val="0"/>
          <w:numId w:val="0"/>
        </w:numPr>
        <w:spacing w:line="360" w:lineRule="auto"/>
        <w:rPr>
          <w:rFonts w:hint="eastAsia"/>
          <w:lang w:eastAsia="zh-CN"/>
        </w:rPr>
      </w:pPr>
      <w:r>
        <w:rPr>
          <w:rFonts w:hint="eastAsia"/>
          <w:lang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指标11</w:t>
      </w:r>
      <w:r>
        <w:rPr>
          <w:rFonts w:hint="eastAsia" w:eastAsia="仿宋" w:cs="华文楷体"/>
          <w:b/>
          <w:bCs/>
          <w:sz w:val="21"/>
          <w:szCs w:val="21"/>
          <w:lang w:eastAsia="zh-CN"/>
        </w:rPr>
        <w:t>）</w:t>
      </w:r>
      <w:r>
        <w:rPr>
          <w:rFonts w:hint="eastAsia"/>
          <w:lang w:eastAsia="zh-CN"/>
        </w:rPr>
        <w:t>改进要求:定期对备份文件进行恢复测试，确保备份文件有效。</w:t>
      </w:r>
    </w:p>
    <w:p>
      <w:pPr>
        <w:numPr>
          <w:ilvl w:val="0"/>
          <w:numId w:val="1"/>
        </w:numPr>
        <w:spacing w:line="360" w:lineRule="auto"/>
        <w:ind w:left="425" w:leftChars="0" w:hanging="425" w:firstLineChars="0"/>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未提供异地数据定时备份功能</w:t>
      </w:r>
    </w:p>
    <w:p>
      <w:pPr>
        <w:widowControl w:val="0"/>
        <w:numPr>
          <w:ilvl w:val="0"/>
          <w:numId w:val="0"/>
        </w:numPr>
        <w:spacing w:line="360" w:lineRule="auto"/>
        <w:rPr>
          <w:rFonts w:hint="eastAsia"/>
          <w:lang w:eastAsia="zh-CN"/>
        </w:rPr>
      </w:pPr>
      <w:r>
        <w:rPr>
          <w:rFonts w:hint="eastAsia"/>
          <w:lang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指标12</w:t>
      </w:r>
      <w:r>
        <w:rPr>
          <w:rFonts w:hint="eastAsia" w:eastAsia="仿宋" w:cs="华文楷体"/>
          <w:b/>
          <w:bCs/>
          <w:sz w:val="21"/>
          <w:szCs w:val="21"/>
          <w:lang w:eastAsia="zh-CN"/>
        </w:rPr>
        <w:t>）</w:t>
      </w:r>
      <w:r>
        <w:rPr>
          <w:rFonts w:hint="eastAsia"/>
          <w:lang w:eastAsia="zh-CN"/>
        </w:rPr>
        <w:t>改进要求:利用通信网络将关键数据定时批量传送至备用场地，实现数据异地备份。</w:t>
      </w:r>
    </w:p>
    <w:p>
      <w:pPr>
        <w:numPr>
          <w:ilvl w:val="0"/>
          <w:numId w:val="1"/>
        </w:numPr>
        <w:spacing w:line="360" w:lineRule="auto"/>
        <w:ind w:left="425" w:leftChars="0" w:hanging="425" w:firstLineChars="0"/>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数据库口令未定期更新</w:t>
      </w:r>
    </w:p>
    <w:p>
      <w:pPr>
        <w:widowControl w:val="0"/>
        <w:numPr>
          <w:ilvl w:val="0"/>
          <w:numId w:val="0"/>
        </w:numPr>
        <w:spacing w:line="360" w:lineRule="auto"/>
        <w:rPr>
          <w:rFonts w:hint="eastAsia"/>
          <w:lang w:val="en-US" w:eastAsia="zh-CN"/>
        </w:rPr>
      </w:pPr>
      <w:r>
        <w:rPr>
          <w:rFonts w:hint="eastAsia"/>
          <w:lang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指标13</w:t>
      </w:r>
      <w:r>
        <w:rPr>
          <w:rFonts w:hint="eastAsia" w:eastAsia="仿宋" w:cs="华文楷体"/>
          <w:b/>
          <w:bCs/>
          <w:sz w:val="21"/>
          <w:szCs w:val="21"/>
          <w:lang w:eastAsia="zh-CN"/>
        </w:rPr>
        <w:t>）</w:t>
      </w:r>
      <w:r>
        <w:rPr>
          <w:rFonts w:hint="eastAsia"/>
          <w:lang w:eastAsia="zh-CN"/>
        </w:rPr>
        <w:t>改进要求：数据库口令</w:t>
      </w:r>
      <w:r>
        <w:rPr>
          <w:rFonts w:hint="eastAsia"/>
          <w:lang w:val="en-US" w:eastAsia="zh-CN"/>
        </w:rPr>
        <w:t>90天更新一次。</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MySQL数据库未启用登录失败处理功能:connection control=empty set</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指标14</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:设置合理的登录失败功能。</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MySQL身份认证采用挑战握手认证协议(CHAP)，用户鉴别信息通过易破解的SHA1加密算法进行传输</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指标15</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:数据库采用国密算法保证数据库远程管理时用户鉴别信息的传输安全。</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数据库未采用两种或两种以上组合的鉴别技术</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指标16</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:对数据库采用两种或两种以上组合的鉴别技术实现用户身份鉴别，如:账户密码+数字证书、账户密码+令牌等。</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数据库未划分系统管理员、安全管理员、安全审计员角色的帐户</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指标17</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:建立如:管理员、审计员、操作员等帐户，并根据业务需要设置各帐户的权限。</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数据库没有对重要信息资源设置敏感标记，无法根据安全策略控制用户对敏感标记资源的访问</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指标18</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:对数据库重要资源增加敏感标记的功能，并控制用户对已标记的敏感信息的操作。</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数据库审计记录不足6个月以上</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指标19</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:对审计记录进行保护，并定期备份且日志至少保存6个月以上。</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数据库未采取措施保证数据库鉴别数据、重要配置数据等在传输过程中的完整性</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指标20</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:对重要数据采用经国家密码管理局认可的密码技术或校验技术保证通信过程中数据的完整性。</w:t>
      </w:r>
    </w:p>
    <w:p>
      <w:pPr>
        <w:numPr>
          <w:ilvl w:val="0"/>
          <w:numId w:val="1"/>
        </w:numPr>
        <w:spacing w:line="360" w:lineRule="auto"/>
        <w:ind w:left="425" w:leftChars="0" w:hanging="425" w:firstLineChars="0"/>
        <w:jc w:val="left"/>
        <w:rPr>
          <w:rFonts w:hint="default"/>
          <w:lang w:val="en-US" w:eastAsia="zh-CN"/>
        </w:rPr>
      </w:pPr>
      <w:r>
        <w:rPr>
          <w:rFonts w:hint="default" w:ascii="宋体" w:hAnsi="宋体" w:eastAsia="宋体" w:cs="Times New Roman"/>
          <w:b/>
          <w:bCs/>
          <w:sz w:val="24"/>
          <w:lang w:val="en-US" w:eastAsia="zh-CN"/>
        </w:rPr>
        <w:t>数据库未采用密码技术或校验技术保证数据的存储完整性</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指标21</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:对重要数据采用经国家密码主管部门认可的密码技术或校验技术保证其在存储过程中数据的完整性。</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数据库鉴别数据在传输过程中采用易破解的SHA-1密码技术无法完全保证传输过程中保密性</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指标22</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:数据库对鉴别数据、重要审计数据、重要配置数据在采用经国家密码管理局认可的密码技术保证通信过程中数据的保密性。</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数据库采用SHA-1易破解密码算法保证重要数据在存储过程中的保密性</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指标23</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:对数据库重要业务数据采用经国家密码主管部门认可的密码技术，保证其在存储过程中数据的私密性。</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数据库未定期进行数据恢复测试</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指标24</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:对数据定期对备份文件进行恢复测试，确保备份文件有效。</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数据库未对重要数据进行异地定时备份</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指标25</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:利用通信网络将关键数据定时批量传送至备用场地，实现数据异地备份。</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数据库未基于可信根对设备的系统引导程序、系统程序、重要配置参数和应用程序进行可信验证</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指标26</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技术条件具备时，采用可信验证的设备或组件、提供集中审计功能的系统，实现对网络、安全设备、应用系统、服务器等的系统引导程序、系统程序、重要配置参数等进行可信验证，在检测到其可信性受到破坏后进行报警，并将验证结果形成审计记录送至安全管理中心。</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服务器</w:t>
      </w:r>
      <w:r>
        <w:rPr>
          <w:rFonts w:hint="default" w:ascii="宋体" w:hAnsi="宋体" w:eastAsia="宋体" w:cs="Times New Roman"/>
          <w:b/>
          <w:bCs/>
          <w:sz w:val="24"/>
          <w:lang w:val="en-US" w:eastAsia="zh-CN"/>
        </w:rPr>
        <w:t>未采用两种或两种以上组合的鉴别技术</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指标27</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:对操作系统采用两种或两种以上组合的鉴别技术实现用户身份鉴别，如数字证书、令牌等。</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未提供设置敏感标记功能</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指标28</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:对操作系统重要资源增加敏感标记的功能，并控制用户对已标记的敏感信息的操作。</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服务器日志留存时间不足六个月</w:t>
      </w:r>
    </w:p>
    <w:p>
      <w:pPr>
        <w:widowControl w:val="0"/>
        <w:numPr>
          <w:ilvl w:val="0"/>
          <w:numId w:val="0"/>
        </w:numPr>
        <w:spacing w:line="360" w:lineRule="auto"/>
        <w:rPr>
          <w:rFonts w:hint="default" w:ascii="宋体" w:hAnsi="宋体" w:eastAsia="宋体" w:cs="Times New Roman"/>
          <w:lang w:val="en-US" w:eastAsia="zh-CN"/>
        </w:rPr>
      </w:pPr>
      <w:r>
        <w:rPr>
          <w:rFonts w:hint="eastAsia" w:ascii="宋体" w:hAnsi="宋体" w:eastAsia="宋体" w:cs="Times New Roman"/>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指标29</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w:t>
      </w:r>
      <w:r>
        <w:rPr>
          <w:rFonts w:hint="default" w:ascii="宋体" w:hAnsi="宋体" w:eastAsia="宋体" w:cs="Times New Roman"/>
          <w:lang w:val="en-US" w:eastAsia="zh-CN"/>
        </w:rPr>
        <w:t>对系统运行状况、用户行为等日志进行备份并妥善保存根据法律法规规定日志留存时间需大于六个月。</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服务器</w:t>
      </w:r>
      <w:r>
        <w:rPr>
          <w:rFonts w:hint="default" w:ascii="宋体" w:hAnsi="宋体" w:eastAsia="宋体" w:cs="Times New Roman"/>
          <w:b/>
          <w:bCs/>
          <w:sz w:val="24"/>
          <w:lang w:val="en-US" w:eastAsia="zh-CN"/>
        </w:rPr>
        <w:t>未采取入侵检测保护措施</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指标30</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:采取入侵检测措施，根据需要安装第三方入侵检测软件。</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服务器</w:t>
      </w:r>
      <w:r>
        <w:rPr>
          <w:rFonts w:hint="default" w:ascii="宋体" w:hAnsi="宋体" w:eastAsia="宋体" w:cs="Times New Roman"/>
          <w:b/>
          <w:bCs/>
          <w:sz w:val="24"/>
          <w:lang w:val="en-US" w:eastAsia="zh-CN"/>
        </w:rPr>
        <w:t>操作系统未安装防病毒软件</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指标31</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:部署主机防病毒软件，并定期更新防病毒软件特征库降低主机感染病毒、木马的风险。</w:t>
      </w:r>
    </w:p>
    <w:p>
      <w:pPr>
        <w:numPr>
          <w:ilvl w:val="0"/>
          <w:numId w:val="1"/>
        </w:numPr>
        <w:spacing w:line="360" w:lineRule="auto"/>
        <w:ind w:left="425" w:leftChars="0" w:hanging="425" w:firstLineChars="0"/>
        <w:jc w:val="left"/>
        <w:rPr>
          <w:rFonts w:hint="default"/>
          <w:lang w:val="en-US" w:eastAsia="zh-CN"/>
        </w:rPr>
      </w:pPr>
      <w:r>
        <w:rPr>
          <w:rFonts w:hint="eastAsia" w:ascii="宋体" w:hAnsi="宋体" w:eastAsia="宋体" w:cs="Times New Roman"/>
          <w:b/>
          <w:bCs/>
          <w:sz w:val="24"/>
          <w:lang w:val="en-US" w:eastAsia="zh-CN"/>
        </w:rPr>
        <w:t>服务器</w:t>
      </w:r>
      <w:r>
        <w:rPr>
          <w:rFonts w:hint="default" w:ascii="宋体" w:hAnsi="宋体" w:eastAsia="宋体" w:cs="Times New Roman"/>
          <w:b/>
          <w:bCs/>
          <w:sz w:val="24"/>
          <w:lang w:val="en-US" w:eastAsia="zh-CN"/>
        </w:rPr>
        <w:t>未采用密码技术进行存储完整性验证</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指标32</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:对重要数据采用经国家密码主管部门认可的密码技术，保证其在存储过程中数据的完整性。</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服务器</w:t>
      </w:r>
      <w:r>
        <w:rPr>
          <w:rFonts w:hint="default" w:ascii="宋体" w:hAnsi="宋体" w:eastAsia="宋体" w:cs="Times New Roman"/>
          <w:b/>
          <w:bCs/>
          <w:sz w:val="24"/>
          <w:lang w:val="en-US" w:eastAsia="zh-CN"/>
        </w:rPr>
        <w:t>未对备份的数据进行恢复测试</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指标33</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:定期对备份文件进行恢复测试，确保备份文件有效。</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服务器</w:t>
      </w:r>
      <w:r>
        <w:rPr>
          <w:rFonts w:hint="default" w:ascii="宋体" w:hAnsi="宋体" w:eastAsia="宋体" w:cs="Times New Roman"/>
          <w:b/>
          <w:bCs/>
          <w:sz w:val="24"/>
          <w:lang w:val="en-US" w:eastAsia="zh-CN"/>
        </w:rPr>
        <w:t>未提供数据异地定时备份功能</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指标34</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:利用通信网络将关键数据定时批量传送至备用场地，实现异地数据备份。</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未对</w:t>
      </w:r>
      <w:r>
        <w:rPr>
          <w:rFonts w:hint="eastAsia" w:ascii="宋体" w:hAnsi="宋体" w:eastAsia="宋体" w:cs="Times New Roman"/>
          <w:b/>
          <w:bCs/>
          <w:sz w:val="24"/>
          <w:lang w:val="en-US" w:eastAsia="zh-CN"/>
        </w:rPr>
        <w:t>服务器</w:t>
      </w:r>
      <w:r>
        <w:rPr>
          <w:rFonts w:hint="default" w:ascii="宋体" w:hAnsi="宋体" w:eastAsia="宋体" w:cs="Times New Roman"/>
          <w:b/>
          <w:bCs/>
          <w:sz w:val="24"/>
          <w:lang w:val="en-US" w:eastAsia="zh-CN"/>
        </w:rPr>
        <w:t>操作系统进行可信验证</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指标35</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:采用可信验证措施，保证计算环境可信，识别非授权软件，防止应用完整性受篡改，为系统构建安全可信的计算环境，提升应用系统的免疫力。</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运维终端</w:t>
      </w:r>
      <w:r>
        <w:rPr>
          <w:rFonts w:hint="default" w:ascii="宋体" w:hAnsi="宋体" w:eastAsia="宋体" w:cs="Times New Roman"/>
          <w:b/>
          <w:bCs/>
          <w:sz w:val="24"/>
          <w:lang w:val="en-US" w:eastAsia="zh-CN"/>
        </w:rPr>
        <w:t>未采用两种或两种以上组合的鉴别技术</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指标36</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:对操作系统采用两种或两种以上组合的鉴别技术实现用户身份鉴别，如数字证书、令牌等。</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运维终端</w:t>
      </w:r>
      <w:r>
        <w:rPr>
          <w:rFonts w:hint="default" w:ascii="宋体" w:hAnsi="宋体" w:eastAsia="宋体" w:cs="Times New Roman"/>
          <w:b/>
          <w:bCs/>
          <w:sz w:val="24"/>
          <w:lang w:val="en-US" w:eastAsia="zh-CN"/>
        </w:rPr>
        <w:t>未提供设置敏感标记功能</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指标37</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:对操作系统重要资源增加敏感标记的功能，并控制用户对已标记的敏感信息的操作。</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运维终端</w:t>
      </w:r>
      <w:r>
        <w:rPr>
          <w:rFonts w:hint="default" w:ascii="宋体" w:hAnsi="宋体" w:eastAsia="宋体" w:cs="Times New Roman"/>
          <w:b/>
          <w:bCs/>
          <w:sz w:val="24"/>
          <w:lang w:val="en-US" w:eastAsia="zh-CN"/>
        </w:rPr>
        <w:t>未采用密码技术进行存储完整性验证</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指标38</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:对重要数据采用经国家密码主管部门认可的密码技术，保证其在存储过程中数据的完整性。</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运维终端</w:t>
      </w:r>
      <w:r>
        <w:rPr>
          <w:rFonts w:hint="default" w:ascii="宋体" w:hAnsi="宋体" w:eastAsia="宋体" w:cs="Times New Roman"/>
          <w:b/>
          <w:bCs/>
          <w:sz w:val="24"/>
          <w:lang w:val="en-US" w:eastAsia="zh-CN"/>
        </w:rPr>
        <w:t>未对操作系统进行可信验证</w:t>
      </w:r>
    </w:p>
    <w:p>
      <w:pPr>
        <w:widowControl w:val="0"/>
        <w:numPr>
          <w:ilvl w:val="0"/>
          <w:numId w:val="0"/>
        </w:numPr>
        <w:spacing w:line="360" w:lineRule="auto"/>
        <w:rPr>
          <w:rFonts w:hint="eastAsia"/>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指标39</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:采用可信验证措施，保证计算环境可信，识别非授权软件，防止应用完整性受篡改，为系统构建安全可信的计算环境，提升应用系统的免疫</w:t>
      </w:r>
      <w:r>
        <w:rPr>
          <w:rFonts w:hint="eastAsia"/>
          <w:lang w:val="en-US" w:eastAsia="zh-CN"/>
        </w:rPr>
        <w:t>。</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eastAsia" w:ascii="宋体" w:hAnsi="宋体" w:cs="Times New Roman"/>
          <w:b/>
          <w:bCs/>
          <w:sz w:val="24"/>
          <w:lang w:val="en-US" w:eastAsia="zh-CN"/>
        </w:rPr>
        <w:t>重要</w:t>
      </w:r>
      <w:r>
        <w:rPr>
          <w:rFonts w:hint="eastAsia" w:ascii="宋体" w:hAnsi="宋体" w:eastAsia="宋体" w:cs="Times New Roman"/>
          <w:b/>
          <w:bCs/>
          <w:sz w:val="24"/>
          <w:lang w:val="en-US" w:eastAsia="zh-CN"/>
        </w:rPr>
        <w:t>数据</w:t>
      </w:r>
      <w:r>
        <w:rPr>
          <w:rFonts w:hint="default" w:ascii="宋体" w:hAnsi="宋体" w:eastAsia="宋体" w:cs="Times New Roman"/>
          <w:b/>
          <w:bCs/>
          <w:sz w:val="24"/>
          <w:lang w:val="en-US" w:eastAsia="zh-CN"/>
        </w:rPr>
        <w:t>未采用密码技术进行存储完整性验证</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指标40</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:对重要数据采用经国家密码主管部门认可的密码技术，保证其在存储过程中数据的完整性。</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未对重要数据进行加密存储</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指标41</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:对系统管理数据、鉴别信息及重要业务数据采用经国家密码主管部门认可的密码技术，保证其在存储过程中数据的私密性。</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关键数据</w:t>
      </w:r>
      <w:r>
        <w:rPr>
          <w:rFonts w:hint="default" w:ascii="宋体" w:hAnsi="宋体" w:eastAsia="宋体" w:cs="Times New Roman"/>
          <w:b/>
          <w:bCs/>
          <w:sz w:val="24"/>
          <w:lang w:val="en-US" w:eastAsia="zh-CN"/>
        </w:rPr>
        <w:t>备份数据未定期抽样进行恢复测试</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指标42</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:定期对备份文件进行恢复测试，确保备份文件有效。</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关键数据</w:t>
      </w:r>
      <w:r>
        <w:rPr>
          <w:rFonts w:hint="default" w:ascii="宋体" w:hAnsi="宋体" w:eastAsia="宋体" w:cs="Times New Roman"/>
          <w:b/>
          <w:bCs/>
          <w:sz w:val="24"/>
          <w:lang w:val="en-US" w:eastAsia="zh-CN"/>
        </w:rPr>
        <w:t>未提供异地数据定时备份功能</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指标43</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:利用通信网络将关键数据定时批量传送至备用场地，实现数据异地备份。</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未在管理终端和云计算平台之间建立双向身份验证机制</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指标44</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:当远程管理云计算平台中设备时，管理终端和云计算平台之间可基于数字签名等方式建立双向身份验证机制</w:t>
      </w:r>
      <w:r>
        <w:rPr>
          <w:rFonts w:hint="eastAsia"/>
          <w:lang w:val="en-US" w:eastAsia="zh-CN"/>
        </w:rPr>
        <w:t>。</w:t>
      </w:r>
    </w:p>
    <w:p>
      <w:pPr>
        <w:widowControl w:val="0"/>
        <w:numPr>
          <w:ilvl w:val="0"/>
          <w:numId w:val="0"/>
        </w:numPr>
        <w:spacing w:line="360" w:lineRule="auto"/>
        <w:rPr>
          <w:rFonts w:hint="default"/>
          <w:b/>
          <w:bCs/>
          <w:lang w:val="en-US" w:eastAsia="zh-CN"/>
        </w:rPr>
      </w:pPr>
      <w:r>
        <w:rPr>
          <w:rFonts w:hint="eastAsia" w:ascii="宋体" w:hAnsi="宋体" w:eastAsia="宋体" w:cs="Times New Roman"/>
          <w:b/>
          <w:bCs/>
          <w:sz w:val="24"/>
          <w:lang w:val="en-US" w:eastAsia="zh-CN"/>
        </w:rPr>
        <w:t>2.1.3</w:t>
      </w:r>
      <w:r>
        <w:rPr>
          <w:rFonts w:hint="default"/>
          <w:b/>
          <w:bCs/>
          <w:lang w:val="en-US" w:eastAsia="zh-CN"/>
        </w:rPr>
        <w:t>安全管理中心方面</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未能对所使用虚拟资源的审计数据进行集中收集与审计</w:t>
      </w:r>
    </w:p>
    <w:p>
      <w:pPr>
        <w:widowControl w:val="0"/>
        <w:numPr>
          <w:ilvl w:val="0"/>
          <w:numId w:val="0"/>
        </w:numPr>
        <w:spacing w:line="360" w:lineRule="auto"/>
        <w:ind w:firstLine="480"/>
        <w:rPr>
          <w:rFonts w:hint="default"/>
          <w:lang w:val="en-US" w:eastAsia="zh-CN"/>
        </w:rPr>
      </w:pPr>
      <w:r>
        <w:rPr>
          <w:rFonts w:hint="eastAsia" w:eastAsia="仿宋" w:cs="华文楷体"/>
          <w:b/>
          <w:bCs/>
          <w:sz w:val="21"/>
          <w:szCs w:val="21"/>
          <w:lang w:eastAsia="zh-CN"/>
        </w:rPr>
        <w:t>（</w:t>
      </w:r>
      <w:r>
        <w:rPr>
          <w:rFonts w:hint="eastAsia" w:ascii="宋体" w:hAnsi="宋体"/>
          <w:b/>
          <w:bCs/>
          <w:color w:val="000000"/>
          <w:kern w:val="0"/>
          <w:szCs w:val="21"/>
          <w:lang w:val="en-US" w:eastAsia="zh-CN"/>
        </w:rPr>
        <w:t>指标45</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:根据职责划分，对各自控制部分的审计数据进行收集与审计。</w:t>
      </w:r>
    </w:p>
    <w:p>
      <w:pPr>
        <w:widowControl w:val="0"/>
        <w:numPr>
          <w:ilvl w:val="0"/>
          <w:numId w:val="0"/>
        </w:numPr>
        <w:spacing w:line="360" w:lineRule="auto"/>
        <w:rPr>
          <w:rFonts w:hint="default"/>
          <w:b/>
          <w:bCs/>
          <w:lang w:val="en-US" w:eastAsia="zh-CN"/>
        </w:rPr>
      </w:pPr>
      <w:r>
        <w:rPr>
          <w:rFonts w:hint="eastAsia" w:ascii="宋体" w:hAnsi="宋体" w:eastAsia="宋体" w:cs="Times New Roman"/>
          <w:b/>
          <w:bCs/>
          <w:sz w:val="24"/>
          <w:lang w:val="en-US" w:eastAsia="zh-CN"/>
        </w:rPr>
        <w:t>2.1.4</w:t>
      </w:r>
      <w:r>
        <w:rPr>
          <w:rFonts w:hint="default"/>
          <w:b/>
          <w:bCs/>
          <w:lang w:val="en-US" w:eastAsia="zh-CN"/>
        </w:rPr>
        <w:t>安全</w:t>
      </w:r>
      <w:r>
        <w:rPr>
          <w:rFonts w:hint="eastAsia"/>
          <w:b/>
          <w:bCs/>
          <w:lang w:val="en-US" w:eastAsia="zh-CN"/>
        </w:rPr>
        <w:t>建设管理</w:t>
      </w:r>
      <w:r>
        <w:rPr>
          <w:rFonts w:hint="default"/>
          <w:b/>
          <w:bCs/>
          <w:lang w:val="en-US" w:eastAsia="zh-CN"/>
        </w:rPr>
        <w:t>方面</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未使用符合国家密码管理主管部门要求的密码产品</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指标46</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:采购和使用符合国家密码主管部门的要求的密码产品。</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软件</w:t>
      </w:r>
      <w:r>
        <w:rPr>
          <w:rFonts w:hint="eastAsia" w:ascii="宋体" w:hAnsi="宋体" w:eastAsia="宋体" w:cs="Times New Roman"/>
          <w:b/>
          <w:bCs/>
          <w:sz w:val="24"/>
          <w:lang w:val="en-US" w:eastAsia="zh-CN"/>
        </w:rPr>
        <w:t>交付前未检测其可能存在的恶意代码</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指标47</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:对开发单位提供软件源代码中可能存在的恶意代码通过第三方的检查工具或人工进行审查，并保留相关检查报告。</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default" w:ascii="宋体" w:hAnsi="宋体" w:eastAsia="宋体" w:cs="Times New Roman"/>
          <w:b/>
          <w:bCs/>
          <w:sz w:val="24"/>
          <w:lang w:val="en-US" w:eastAsia="zh-CN"/>
        </w:rPr>
        <w:t>测试验收不完善，未包含密码应用相关内容</w:t>
      </w:r>
    </w:p>
    <w:p>
      <w:pPr>
        <w:widowControl w:val="0"/>
        <w:numPr>
          <w:ilvl w:val="0"/>
          <w:numId w:val="0"/>
        </w:numPr>
        <w:spacing w:line="360" w:lineRule="auto"/>
        <w:rPr>
          <w:rFonts w:hint="default"/>
          <w:lang w:val="en-US" w:eastAsia="zh-CN"/>
        </w:rPr>
      </w:pPr>
      <w:r>
        <w:rPr>
          <w:rFonts w:hint="eastAsia"/>
          <w:lang w:val="en-US" w:eastAsia="zh-CN"/>
        </w:rPr>
        <w:t>　　</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指标48</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:补充在系统验收阶段需委托第三方测试单位对系统进行安全性测试的相关规定，保证今后在系统建设验收阶段委托第三方进行安全测试，并包含密码应用相关内容。</w:t>
      </w:r>
    </w:p>
    <w:p>
      <w:pPr>
        <w:widowControl w:val="0"/>
        <w:numPr>
          <w:ilvl w:val="0"/>
          <w:numId w:val="0"/>
        </w:numPr>
        <w:spacing w:line="360" w:lineRule="auto"/>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2.1.5</w:t>
      </w:r>
      <w:r>
        <w:rPr>
          <w:rFonts w:hint="default" w:ascii="宋体" w:hAnsi="宋体" w:eastAsia="宋体" w:cs="Times New Roman"/>
          <w:b/>
          <w:bCs/>
          <w:sz w:val="24"/>
          <w:lang w:val="en-US" w:eastAsia="zh-CN"/>
        </w:rPr>
        <w:t>安全运维管理方面</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eastAsia" w:ascii="宋体" w:hAnsi="宋体" w:cs="Times New Roman"/>
          <w:b/>
          <w:bCs/>
          <w:sz w:val="24"/>
          <w:lang w:val="en-US" w:eastAsia="zh-CN"/>
        </w:rPr>
        <w:t>密码相关标准和行业标准：</w:t>
      </w:r>
      <w:r>
        <w:rPr>
          <w:rFonts w:hint="default" w:ascii="宋体" w:hAnsi="宋体" w:eastAsia="宋体" w:cs="Times New Roman"/>
          <w:b/>
          <w:bCs/>
          <w:sz w:val="24"/>
          <w:lang w:val="en-US" w:eastAsia="zh-CN"/>
        </w:rPr>
        <w:t>数据库、操作系统使用国际通用密码算法，且未使用国家密码管理主管部门认证的密码产品</w:t>
      </w:r>
    </w:p>
    <w:p>
      <w:pPr>
        <w:widowControl w:val="0"/>
        <w:numPr>
          <w:ilvl w:val="0"/>
          <w:numId w:val="0"/>
        </w:numPr>
        <w:spacing w:line="360" w:lineRule="auto"/>
        <w:ind w:firstLine="421" w:firstLineChars="200"/>
        <w:rPr>
          <w:rFonts w:hint="default"/>
          <w:lang w:val="en-US" w:eastAsia="zh-CN"/>
        </w:rPr>
      </w:pPr>
      <w:r>
        <w:rPr>
          <w:rFonts w:hint="eastAsia" w:eastAsia="仿宋" w:cs="华文楷体"/>
          <w:b/>
          <w:bCs/>
          <w:sz w:val="21"/>
          <w:szCs w:val="21"/>
          <w:lang w:eastAsia="zh-CN"/>
        </w:rPr>
        <w:t>（</w:t>
      </w:r>
      <w:r>
        <w:rPr>
          <w:rFonts w:hint="eastAsia" w:ascii="宋体" w:hAnsi="宋体"/>
          <w:b/>
          <w:bCs/>
          <w:color w:val="000000"/>
          <w:kern w:val="0"/>
          <w:szCs w:val="21"/>
          <w:lang w:val="en-US" w:eastAsia="zh-CN"/>
        </w:rPr>
        <w:t>指标49</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:使用国家密码管理主管部门认证核准的密码技术和产品。</w:t>
      </w:r>
    </w:p>
    <w:p>
      <w:pPr>
        <w:numPr>
          <w:ilvl w:val="0"/>
          <w:numId w:val="1"/>
        </w:numPr>
        <w:spacing w:line="360" w:lineRule="auto"/>
        <w:ind w:left="425" w:leftChars="0" w:hanging="425" w:firstLineChars="0"/>
        <w:jc w:val="left"/>
        <w:rPr>
          <w:rFonts w:hint="default" w:ascii="宋体" w:hAnsi="宋体" w:eastAsia="宋体" w:cs="Times New Roman"/>
          <w:b/>
          <w:bCs/>
          <w:sz w:val="24"/>
          <w:lang w:val="en-US" w:eastAsia="zh-CN"/>
        </w:rPr>
      </w:pPr>
      <w:r>
        <w:rPr>
          <w:rFonts w:hint="eastAsia" w:ascii="宋体" w:hAnsi="宋体" w:cs="Times New Roman"/>
          <w:b/>
          <w:bCs/>
          <w:sz w:val="24"/>
          <w:lang w:val="en-US" w:eastAsia="zh-CN"/>
        </w:rPr>
        <w:t>密码技术和产品：</w:t>
      </w:r>
      <w:r>
        <w:rPr>
          <w:rFonts w:hint="default" w:ascii="宋体" w:hAnsi="宋体" w:eastAsia="宋体" w:cs="Times New Roman"/>
          <w:b/>
          <w:bCs/>
          <w:sz w:val="24"/>
          <w:lang w:val="en-US" w:eastAsia="zh-CN"/>
        </w:rPr>
        <w:t>数据库、操作系统使用国际通用密码算法，且未使用国家密码管理主管部门认证的密码产品</w:t>
      </w:r>
    </w:p>
    <w:p>
      <w:pPr>
        <w:widowControl w:val="0"/>
        <w:numPr>
          <w:ilvl w:val="0"/>
          <w:numId w:val="0"/>
        </w:numPr>
        <w:spacing w:line="360" w:lineRule="auto"/>
        <w:ind w:firstLine="421" w:firstLineChars="200"/>
        <w:rPr>
          <w:rFonts w:hint="default"/>
          <w:lang w:val="en-US" w:eastAsia="zh-CN"/>
        </w:rPr>
      </w:pPr>
      <w:r>
        <w:rPr>
          <w:rFonts w:hint="eastAsia" w:eastAsia="仿宋" w:cs="华文楷体"/>
          <w:b/>
          <w:bCs/>
          <w:sz w:val="21"/>
          <w:szCs w:val="21"/>
          <w:lang w:eastAsia="zh-CN"/>
        </w:rPr>
        <w:t>（</w:t>
      </w:r>
      <w:r>
        <w:rPr>
          <w:rFonts w:hint="eastAsia" w:ascii="宋体" w:hAnsi="宋体"/>
          <w:b/>
          <w:bCs/>
          <w:color w:val="000000"/>
          <w:kern w:val="0"/>
          <w:szCs w:val="21"/>
          <w:lang w:val="en-US" w:eastAsia="zh-CN"/>
        </w:rPr>
        <w:t>指标50</w:t>
      </w:r>
      <w:r>
        <w:rPr>
          <w:rFonts w:hint="eastAsia" w:eastAsia="仿宋" w:cs="华文楷体"/>
          <w:b/>
          <w:bCs/>
          <w:sz w:val="21"/>
          <w:szCs w:val="21"/>
          <w:lang w:eastAsia="zh-CN"/>
        </w:rPr>
        <w:t>）</w:t>
      </w:r>
      <w:r>
        <w:rPr>
          <w:rFonts w:hint="eastAsia"/>
          <w:lang w:val="en-US" w:eastAsia="zh-CN"/>
        </w:rPr>
        <w:t>改进要求</w:t>
      </w:r>
      <w:r>
        <w:rPr>
          <w:rFonts w:hint="default"/>
          <w:lang w:val="en-US" w:eastAsia="zh-CN"/>
        </w:rPr>
        <w:t>:使用国家密码管理主管部门认证核准的密码技术和产品。</w:t>
      </w:r>
    </w:p>
    <w:p>
      <w:pPr>
        <w:widowControl/>
        <w:numPr>
          <w:ilvl w:val="-1"/>
          <w:numId w:val="0"/>
        </w:numPr>
        <w:spacing w:line="360" w:lineRule="auto"/>
        <w:ind w:firstLine="0" w:firstLineChars="0"/>
        <w:jc w:val="left"/>
        <w:rPr>
          <w:rFonts w:hint="eastAsia" w:ascii="宋体" w:hAnsi="宋体"/>
          <w:b/>
          <w:bCs/>
          <w:sz w:val="24"/>
          <w:lang w:val="en-US" w:eastAsia="zh-CN"/>
        </w:rPr>
      </w:pPr>
      <w:r>
        <w:rPr>
          <w:rFonts w:hint="eastAsia" w:ascii="宋体" w:hAnsi="宋体"/>
          <w:b/>
          <w:bCs/>
          <w:sz w:val="24"/>
          <w:lang w:val="en-US" w:eastAsia="zh-CN"/>
        </w:rPr>
        <w:t>2.2</w:t>
      </w:r>
      <w:r>
        <w:rPr>
          <w:rFonts w:hint="eastAsia" w:ascii="宋体" w:hAnsi="宋体"/>
          <w:b/>
          <w:bCs/>
          <w:sz w:val="24"/>
        </w:rPr>
        <w:t>商用密码应用改造</w:t>
      </w:r>
    </w:p>
    <w:p>
      <w:pPr>
        <w:spacing w:line="360" w:lineRule="auto"/>
        <w:jc w:val="left"/>
        <w:rPr>
          <w:rFonts w:hint="eastAsia" w:ascii="宋体" w:hAnsi="宋体" w:eastAsia="宋体" w:cs="Times New Roman"/>
          <w:b/>
          <w:bCs/>
          <w:sz w:val="24"/>
          <w:lang w:val="en-US" w:eastAsia="zh-CN"/>
        </w:rPr>
      </w:pPr>
      <w:r>
        <w:rPr>
          <w:rFonts w:hint="eastAsia" w:ascii="宋体" w:hAnsi="宋体" w:cs="Times New Roman"/>
          <w:b/>
          <w:bCs/>
          <w:sz w:val="24"/>
          <w:lang w:val="en-US" w:eastAsia="zh-CN"/>
        </w:rPr>
        <w:t>2.2.1</w:t>
      </w:r>
      <w:r>
        <w:rPr>
          <w:rFonts w:hint="eastAsia" w:ascii="宋体" w:hAnsi="宋体" w:eastAsia="宋体" w:cs="Times New Roman"/>
          <w:b/>
          <w:bCs/>
          <w:sz w:val="24"/>
          <w:lang w:val="en-US" w:eastAsia="zh-CN"/>
        </w:rPr>
        <w:t>商用密码应用对象</w:t>
      </w:r>
    </w:p>
    <w:p>
      <w:pPr>
        <w:spacing w:line="360" w:lineRule="auto"/>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2.</w:t>
      </w:r>
      <w:r>
        <w:rPr>
          <w:rFonts w:hint="eastAsia" w:ascii="宋体" w:hAnsi="宋体" w:cs="Times New Roman"/>
          <w:b/>
          <w:bCs/>
          <w:sz w:val="24"/>
          <w:lang w:val="en-US" w:eastAsia="zh-CN"/>
        </w:rPr>
        <w:t>2</w:t>
      </w:r>
      <w:r>
        <w:rPr>
          <w:rFonts w:hint="eastAsia" w:ascii="宋体" w:hAnsi="宋体" w:eastAsia="宋体" w:cs="Times New Roman"/>
          <w:b/>
          <w:bCs/>
          <w:sz w:val="24"/>
          <w:lang w:val="en-US" w:eastAsia="zh-CN"/>
        </w:rPr>
        <w:t>.1</w:t>
      </w:r>
      <w:r>
        <w:rPr>
          <w:rFonts w:hint="eastAsia" w:ascii="宋体" w:hAnsi="宋体" w:cs="Times New Roman"/>
          <w:b/>
          <w:bCs/>
          <w:sz w:val="24"/>
          <w:lang w:val="en-US" w:eastAsia="zh-CN"/>
        </w:rPr>
        <w:t>.1</w:t>
      </w:r>
      <w:r>
        <w:rPr>
          <w:rFonts w:hint="eastAsia" w:ascii="宋体" w:hAnsi="宋体" w:eastAsia="宋体" w:cs="Times New Roman"/>
          <w:b/>
          <w:bCs/>
          <w:sz w:val="24"/>
          <w:lang w:val="en-US" w:eastAsia="zh-CN"/>
        </w:rPr>
        <w:t>智慧民政一体化门户</w:t>
      </w:r>
    </w:p>
    <w:p>
      <w:pPr>
        <w:widowControl/>
        <w:spacing w:line="360" w:lineRule="auto"/>
        <w:ind w:firstLine="480" w:firstLineChars="200"/>
        <w:jc w:val="left"/>
        <w:rPr>
          <w:rFonts w:hint="default"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智慧民政一体化门户</w:t>
      </w:r>
      <w:r>
        <w:rPr>
          <w:rFonts w:hint="default" w:cs="宋体" w:asciiTheme="minorEastAsia" w:hAnsiTheme="minorEastAsia" w:eastAsiaTheme="minorEastAsia"/>
          <w:color w:val="auto"/>
          <w:kern w:val="0"/>
          <w:sz w:val="24"/>
          <w:highlight w:val="none"/>
          <w:lang w:val="en-US" w:eastAsia="zh-CN"/>
        </w:rPr>
        <w:t>以“数字+服务+治理”为核心导向，聚焦数据驱动，通过打破民政领域长期存在的信息孤岛和数据壁垒，系统推动政务数据、行业数据与社会数据的汇聚融合，建立标准化数据治理与共享机制，形成“用数据说话、用数据决策”的科学化治理模式，为精准施策提供坚实数据支撑。</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智慧民政一体化门户</w:t>
      </w:r>
      <w:r>
        <w:rPr>
          <w:rFonts w:hint="default" w:cs="宋体" w:asciiTheme="minorEastAsia" w:hAnsiTheme="minorEastAsia" w:eastAsiaTheme="minorEastAsia"/>
          <w:color w:val="auto"/>
          <w:kern w:val="0"/>
          <w:sz w:val="24"/>
          <w:highlight w:val="none"/>
          <w:lang w:val="en-US" w:eastAsia="zh-CN"/>
        </w:rPr>
        <w:t>依托政务云平台，构建集约化、智能化基础设施底座，包含云存储、算力支撑、网络安全防护等</w:t>
      </w:r>
      <w:r>
        <w:rPr>
          <w:rFonts w:hint="eastAsia" w:cs="宋体" w:asciiTheme="minorEastAsia" w:hAnsiTheme="minorEastAsia" w:eastAsiaTheme="minorEastAsia"/>
          <w:color w:val="auto"/>
          <w:kern w:val="0"/>
          <w:sz w:val="24"/>
          <w:highlight w:val="none"/>
          <w:lang w:val="en-US" w:eastAsia="zh-CN"/>
        </w:rPr>
        <w:t>。在底座上搭建数据中台和业务平台。</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default" w:cs="宋体" w:asciiTheme="minorEastAsia" w:hAnsiTheme="minorEastAsia" w:eastAsiaTheme="minorEastAsia"/>
          <w:color w:val="auto"/>
          <w:kern w:val="0"/>
          <w:sz w:val="24"/>
          <w:highlight w:val="none"/>
          <w:lang w:val="en-US" w:eastAsia="zh-CN"/>
        </w:rPr>
        <w:t>数据中台：实现民政数据汇聚、治理、共享开放，支撑跨部门数据交换。</w:t>
      </w:r>
      <w:r>
        <w:rPr>
          <w:rFonts w:hint="default" w:cs="宋体" w:asciiTheme="minorEastAsia" w:hAnsiTheme="minorEastAsia" w:eastAsiaTheme="minorEastAsia"/>
          <w:color w:val="auto"/>
          <w:kern w:val="0"/>
          <w:sz w:val="24"/>
          <w:highlight w:val="none"/>
          <w:lang w:val="en-US" w:eastAsia="zh-CN"/>
        </w:rPr>
        <w:br w:type="textWrapping"/>
      </w:r>
      <w:r>
        <w:rPr>
          <w:rFonts w:hint="eastAsia" w:cs="宋体" w:asciiTheme="minorEastAsia" w:hAnsiTheme="minorEastAsia" w:eastAsiaTheme="minorEastAsia"/>
          <w:color w:val="auto"/>
          <w:kern w:val="0"/>
          <w:sz w:val="24"/>
          <w:highlight w:val="none"/>
          <w:lang w:val="en-US" w:eastAsia="zh-CN"/>
        </w:rPr>
        <w:t>　　</w:t>
      </w:r>
      <w:r>
        <w:rPr>
          <w:rFonts w:hint="default" w:cs="宋体" w:asciiTheme="minorEastAsia" w:hAnsiTheme="minorEastAsia" w:eastAsiaTheme="minorEastAsia"/>
          <w:color w:val="auto"/>
          <w:kern w:val="0"/>
          <w:sz w:val="24"/>
          <w:highlight w:val="none"/>
          <w:lang w:val="en-US" w:eastAsia="zh-CN"/>
        </w:rPr>
        <w:t>业务平台：整合分散系统，提供模块化、组件化业务支撑。</w:t>
      </w:r>
      <w:r>
        <w:rPr>
          <w:rFonts w:hint="eastAsia" w:cs="宋体" w:asciiTheme="minorEastAsia" w:hAnsiTheme="minorEastAsia" w:eastAsiaTheme="minorEastAsia"/>
          <w:color w:val="auto"/>
          <w:kern w:val="0"/>
          <w:sz w:val="24"/>
          <w:highlight w:val="none"/>
          <w:lang w:val="en-US" w:eastAsia="zh-CN"/>
        </w:rPr>
        <w:t>　　</w:t>
      </w:r>
    </w:p>
    <w:p>
      <w:pPr>
        <w:spacing w:line="360" w:lineRule="auto"/>
        <w:jc w:val="left"/>
        <w:rPr>
          <w:rFonts w:hint="eastAsia"/>
          <w:b/>
        </w:rPr>
      </w:pPr>
      <w:r>
        <w:rPr>
          <w:rFonts w:hint="eastAsia" w:ascii="宋体" w:hAnsi="宋体" w:eastAsia="宋体" w:cs="Times New Roman"/>
          <w:b/>
          <w:bCs/>
          <w:sz w:val="24"/>
          <w:lang w:val="en-US" w:eastAsia="zh-CN"/>
        </w:rPr>
        <w:t>2.</w:t>
      </w:r>
      <w:r>
        <w:rPr>
          <w:rFonts w:hint="eastAsia" w:ascii="宋体" w:hAnsi="宋体" w:cs="Times New Roman"/>
          <w:b/>
          <w:bCs/>
          <w:sz w:val="24"/>
          <w:lang w:val="en-US" w:eastAsia="zh-CN"/>
        </w:rPr>
        <w:t>2</w:t>
      </w:r>
      <w:r>
        <w:rPr>
          <w:rFonts w:hint="eastAsia" w:ascii="宋体" w:hAnsi="宋体" w:eastAsia="宋体" w:cs="Times New Roman"/>
          <w:b/>
          <w:bCs/>
          <w:sz w:val="24"/>
          <w:lang w:val="en-US" w:eastAsia="zh-CN"/>
        </w:rPr>
        <w:t>.1</w:t>
      </w:r>
      <w:r>
        <w:rPr>
          <w:rFonts w:hint="eastAsia" w:ascii="宋体" w:hAnsi="宋体" w:cs="Times New Roman"/>
          <w:b/>
          <w:bCs/>
          <w:sz w:val="24"/>
          <w:lang w:val="en-US" w:eastAsia="zh-CN"/>
        </w:rPr>
        <w:t>.</w:t>
      </w:r>
      <w:r>
        <w:rPr>
          <w:rFonts w:hint="eastAsia" w:ascii="宋体" w:hAnsi="宋体" w:eastAsia="宋体" w:cs="Times New Roman"/>
          <w:b/>
          <w:bCs/>
          <w:sz w:val="24"/>
          <w:lang w:val="en-US" w:eastAsia="zh-CN"/>
        </w:rPr>
        <w:t>2</w:t>
      </w:r>
      <w:r>
        <w:rPr>
          <w:rFonts w:hint="eastAsia"/>
          <w:b/>
        </w:rPr>
        <w:t>社会组织信息</w:t>
      </w:r>
      <w:r>
        <w:rPr>
          <w:rFonts w:hint="eastAsia"/>
          <w:b/>
          <w:lang w:val="en-US" w:eastAsia="zh-CN"/>
        </w:rPr>
        <w:t>管理</w:t>
      </w:r>
      <w:r>
        <w:rPr>
          <w:rFonts w:hint="eastAsia"/>
          <w:b/>
        </w:rPr>
        <w:t>系统</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社会组织信息管理系统主要满足市、区两级社会组织登记管理部门对社会团体、民办非企业单位、基金会等社会组织登记信息的管理需求，包括社会组织登记信息的存储、查询、统计;社会组织统一社会信用代码生成和登记证书打印、批文打印;社会组织登记信息的数据推送，现已实现向民政部法人库、厦门市电子证照共享平台、“信用厦门”平台以及市质监局推送相关的信息数据。市民政局同步在局官方网站上开辟查询入口，方便群众查询。</w:t>
      </w:r>
      <w:bookmarkStart w:id="29" w:name="_GoBack"/>
      <w:bookmarkEnd w:id="29"/>
    </w:p>
    <w:p>
      <w:pPr>
        <w:spacing w:line="360" w:lineRule="auto"/>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2.2</w:t>
      </w:r>
      <w:r>
        <w:rPr>
          <w:rFonts w:hint="eastAsia" w:ascii="宋体" w:hAnsi="宋体" w:cs="Times New Roman"/>
          <w:b/>
          <w:bCs/>
          <w:sz w:val="24"/>
          <w:lang w:val="en-US" w:eastAsia="zh-CN"/>
        </w:rPr>
        <w:t>.2</w:t>
      </w:r>
      <w:r>
        <w:rPr>
          <w:rFonts w:hint="eastAsia" w:ascii="宋体" w:hAnsi="宋体" w:eastAsia="宋体" w:cs="Times New Roman"/>
          <w:b/>
          <w:bCs/>
          <w:sz w:val="24"/>
          <w:lang w:val="en-US" w:eastAsia="zh-CN"/>
        </w:rPr>
        <w:t>技术要求</w:t>
      </w:r>
    </w:p>
    <w:p>
      <w:pPr>
        <w:spacing w:line="360" w:lineRule="auto"/>
        <w:jc w:val="left"/>
        <w:rPr>
          <w:rFonts w:hint="default"/>
          <w:b/>
          <w:bCs/>
          <w:lang w:val="en-US" w:eastAsia="zh-CN"/>
        </w:rPr>
      </w:pPr>
      <w:r>
        <w:rPr>
          <w:rFonts w:hint="eastAsia" w:ascii="宋体" w:hAnsi="宋体" w:eastAsia="宋体" w:cs="Times New Roman"/>
          <w:b/>
          <w:bCs/>
          <w:sz w:val="24"/>
          <w:lang w:val="en-US" w:eastAsia="zh-CN"/>
        </w:rPr>
        <w:t>2.2</w:t>
      </w:r>
      <w:r>
        <w:rPr>
          <w:rFonts w:hint="eastAsia" w:ascii="宋体" w:hAnsi="宋体" w:cs="Times New Roman"/>
          <w:b/>
          <w:bCs/>
          <w:sz w:val="24"/>
          <w:lang w:val="en-US" w:eastAsia="zh-CN"/>
        </w:rPr>
        <w:t>.2</w:t>
      </w:r>
      <w:r>
        <w:rPr>
          <w:rFonts w:hint="default" w:ascii="宋体" w:hAnsi="宋体" w:eastAsia="宋体" w:cs="Times New Roman"/>
          <w:b/>
          <w:bCs/>
          <w:sz w:val="24"/>
          <w:lang w:val="en-US" w:eastAsia="zh-CN"/>
        </w:rPr>
        <w:t>.</w:t>
      </w:r>
      <w:r>
        <w:rPr>
          <w:rFonts w:hint="eastAsia" w:ascii="宋体" w:hAnsi="宋体" w:eastAsia="宋体" w:cs="Times New Roman"/>
          <w:b/>
          <w:bCs/>
          <w:sz w:val="24"/>
          <w:lang w:val="en-US" w:eastAsia="zh-CN"/>
        </w:rPr>
        <w:t>1</w:t>
      </w:r>
      <w:r>
        <w:rPr>
          <w:rFonts w:hint="default" w:ascii="宋体" w:hAnsi="宋体" w:eastAsia="宋体" w:cs="Times New Roman"/>
          <w:b/>
          <w:bCs/>
          <w:sz w:val="24"/>
          <w:lang w:val="en-US" w:eastAsia="zh-CN"/>
        </w:rPr>
        <w:t>应用和数据安全密码</w:t>
      </w:r>
      <w:r>
        <w:rPr>
          <w:rFonts w:hint="eastAsia" w:ascii="宋体" w:hAnsi="宋体" w:eastAsia="宋体" w:cs="Times New Roman"/>
          <w:b/>
          <w:bCs/>
          <w:sz w:val="24"/>
          <w:lang w:val="en-US" w:eastAsia="zh-CN"/>
        </w:rPr>
        <w:t>需求</w:t>
      </w:r>
    </w:p>
    <w:tbl>
      <w:tblPr>
        <w:tblStyle w:val="40"/>
        <w:tblW w:w="8807" w:type="dxa"/>
        <w:tblInd w:w="9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574"/>
        <w:gridCol w:w="1308"/>
        <w:gridCol w:w="3041"/>
        <w:gridCol w:w="1387"/>
        <w:gridCol w:w="149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70" w:hRule="atLeast"/>
        </w:trPr>
        <w:tc>
          <w:tcPr>
            <w:tcW w:w="1574" w:type="dxa"/>
            <w:tcBorders>
              <w:bottom w:val="single" w:color="000000" w:sz="4" w:space="0"/>
              <w:right w:val="single" w:color="000000" w:sz="4" w:space="0"/>
            </w:tcBorders>
            <w:shd w:val="clear" w:color="auto" w:fill="E7E6E6"/>
            <w:noWrap/>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08" w:type="dxa"/>
            <w:tcBorders>
              <w:left w:val="single" w:color="000000" w:sz="4" w:space="0"/>
              <w:bottom w:val="single" w:color="000000" w:sz="4" w:space="0"/>
              <w:right w:val="single" w:color="000000" w:sz="4" w:space="0"/>
            </w:tcBorders>
            <w:shd w:val="clear" w:color="auto" w:fill="E7E6E6"/>
            <w:noWrap/>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w:t>
            </w:r>
          </w:p>
        </w:tc>
        <w:tc>
          <w:tcPr>
            <w:tcW w:w="3041" w:type="dxa"/>
            <w:tcBorders>
              <w:left w:val="single" w:color="000000" w:sz="4" w:space="0"/>
              <w:bottom w:val="single" w:color="000000" w:sz="4" w:space="0"/>
              <w:right w:val="single" w:color="000000" w:sz="4" w:space="0"/>
            </w:tcBorders>
            <w:shd w:val="clear" w:color="auto" w:fill="E7E6E6"/>
            <w:noWrap/>
            <w:vAlign w:val="center"/>
          </w:tcPr>
          <w:p>
            <w:pPr>
              <w:widowControl/>
              <w:adjustRightInd w:val="0"/>
              <w:snapToGrid w:val="0"/>
              <w:spacing w:line="240" w:lineRule="auto"/>
              <w:ind w:firstLine="480" w:firstLineChars="20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描述</w:t>
            </w:r>
          </w:p>
        </w:tc>
        <w:tc>
          <w:tcPr>
            <w:tcW w:w="1387" w:type="dxa"/>
            <w:tcBorders>
              <w:left w:val="single" w:color="000000" w:sz="4" w:space="0"/>
              <w:bottom w:val="single" w:color="000000" w:sz="4" w:space="0"/>
              <w:right w:val="single" w:color="000000" w:sz="4" w:space="0"/>
            </w:tcBorders>
            <w:shd w:val="clear" w:color="auto" w:fill="E7E6E6"/>
            <w:noWrap/>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所属应用</w:t>
            </w:r>
          </w:p>
        </w:tc>
        <w:tc>
          <w:tcPr>
            <w:tcW w:w="1497" w:type="dxa"/>
            <w:tcBorders>
              <w:left w:val="single" w:color="000000" w:sz="4" w:space="0"/>
              <w:bottom w:val="single" w:color="000000" w:sz="4" w:space="0"/>
            </w:tcBorders>
            <w:shd w:val="clear" w:color="auto" w:fill="E7E6E6"/>
            <w:noWrap/>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96" w:hRule="atLeast"/>
        </w:trPr>
        <w:tc>
          <w:tcPr>
            <w:tcW w:w="1574" w:type="dxa"/>
            <w:tcBorders>
              <w:top w:val="single" w:color="000000" w:sz="4" w:space="0"/>
              <w:bottom w:val="single" w:color="000000" w:sz="4" w:space="0"/>
              <w:right w:val="single" w:color="000000" w:sz="4" w:space="0"/>
            </w:tcBorders>
            <w:noWrap/>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color w:val="000000"/>
                <w:kern w:val="0"/>
                <w:sz w:val="24"/>
                <w:szCs w:val="24"/>
                <w:lang w:val="en-US" w:eastAsia="zh-CN"/>
              </w:rPr>
              <w:t>指标5１</w:t>
            </w:r>
            <w:r>
              <w:rPr>
                <w:rFonts w:hint="eastAsia" w:asciiTheme="minorEastAsia" w:hAnsiTheme="minorEastAsia" w:eastAsiaTheme="minorEastAsia" w:cstheme="minorEastAsia"/>
                <w:b/>
                <w:bCs/>
                <w:sz w:val="24"/>
                <w:szCs w:val="24"/>
                <w:lang w:eastAsia="zh-CN"/>
              </w:rPr>
              <w:t>）</w:t>
            </w:r>
          </w:p>
        </w:tc>
        <w:tc>
          <w:tcPr>
            <w:tcW w:w="130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身份鉴别</w:t>
            </w:r>
          </w:p>
        </w:tc>
        <w:tc>
          <w:tcPr>
            <w:tcW w:w="304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ind w:firstLine="0" w:firstLineChars="0"/>
              <w:jc w:val="both"/>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对登录厦门市智慧民政一体化平台的用户进行身份鉴别。</w:t>
            </w:r>
          </w:p>
        </w:tc>
        <w:tc>
          <w:tcPr>
            <w:tcW w:w="1387"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智慧民政</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一体化</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门户</w:t>
            </w:r>
          </w:p>
        </w:tc>
        <w:tc>
          <w:tcPr>
            <w:tcW w:w="1497" w:type="dxa"/>
            <w:tcBorders>
              <w:top w:val="single" w:color="000000" w:sz="4" w:space="0"/>
              <w:left w:val="single" w:color="000000" w:sz="4" w:space="0"/>
              <w:bottom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真实性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传输</w:t>
            </w:r>
            <w:r>
              <w:rPr>
                <w:rFonts w:hint="eastAsia" w:asciiTheme="minorEastAsia" w:hAnsiTheme="minorEastAsia" w:eastAsiaTheme="minorEastAsia" w:cstheme="minorEastAsia"/>
                <w:sz w:val="24"/>
                <w:szCs w:val="24"/>
              </w:rPr>
              <w:t>机密性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传输</w:t>
            </w:r>
            <w:r>
              <w:rPr>
                <w:rFonts w:hint="eastAsia" w:asciiTheme="minorEastAsia" w:hAnsiTheme="minorEastAsia" w:eastAsiaTheme="minorEastAsia" w:cstheme="minorEastAsia"/>
                <w:sz w:val="24"/>
                <w:szCs w:val="24"/>
              </w:rPr>
              <w:t>完整性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存储</w:t>
            </w:r>
            <w:r>
              <w:rPr>
                <w:rFonts w:hint="eastAsia" w:asciiTheme="minorEastAsia" w:hAnsiTheme="minorEastAsia" w:eastAsiaTheme="minorEastAsia" w:cstheme="minorEastAsia"/>
                <w:sz w:val="24"/>
                <w:szCs w:val="24"/>
              </w:rPr>
              <w:t>机密性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存储</w:t>
            </w:r>
            <w:r>
              <w:rPr>
                <w:rFonts w:hint="eastAsia" w:asciiTheme="minorEastAsia" w:hAnsiTheme="minorEastAsia" w:eastAsiaTheme="minorEastAsia" w:cstheme="minorEastAsia"/>
                <w:sz w:val="24"/>
                <w:szCs w:val="24"/>
              </w:rPr>
              <w:t>完整性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9" w:hRule="atLeast"/>
        </w:trPr>
        <w:tc>
          <w:tcPr>
            <w:tcW w:w="1574" w:type="dxa"/>
            <w:tcBorders>
              <w:top w:val="single" w:color="000000" w:sz="4" w:space="0"/>
              <w:bottom w:val="single" w:color="000000" w:sz="4" w:space="0"/>
              <w:right w:val="single" w:color="000000" w:sz="4" w:space="0"/>
            </w:tcBorders>
            <w:noWrap/>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color w:val="000000"/>
                <w:kern w:val="0"/>
                <w:sz w:val="24"/>
                <w:szCs w:val="24"/>
                <w:lang w:val="en-US" w:eastAsia="zh-CN"/>
              </w:rPr>
              <w:t>指标52</w:t>
            </w:r>
            <w:r>
              <w:rPr>
                <w:rFonts w:hint="eastAsia" w:asciiTheme="minorEastAsia" w:hAnsiTheme="minorEastAsia" w:eastAsiaTheme="minorEastAsia" w:cstheme="minorEastAsia"/>
                <w:b/>
                <w:bCs/>
                <w:sz w:val="24"/>
                <w:szCs w:val="24"/>
                <w:lang w:eastAsia="zh-CN"/>
              </w:rPr>
              <w:t>）</w:t>
            </w:r>
          </w:p>
        </w:tc>
        <w:tc>
          <w:tcPr>
            <w:tcW w:w="130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访问控制</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信息</w:t>
            </w:r>
          </w:p>
        </w:tc>
        <w:tc>
          <w:tcPr>
            <w:tcW w:w="304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ind w:firstLine="0" w:firstLineChars="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应用系统的权限、标签等能够决定系统应用访问控制的措施等信息。</w:t>
            </w:r>
          </w:p>
        </w:tc>
        <w:tc>
          <w:tcPr>
            <w:tcW w:w="1387" w:type="dxa"/>
            <w:vMerge w:val="continue"/>
            <w:tcBorders>
              <w:left w:val="single" w:color="000000" w:sz="4" w:space="0"/>
              <w:right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p>
        </w:tc>
        <w:tc>
          <w:tcPr>
            <w:tcW w:w="1497" w:type="dxa"/>
            <w:tcBorders>
              <w:top w:val="single" w:color="000000" w:sz="4" w:space="0"/>
              <w:left w:val="single" w:color="000000" w:sz="4" w:space="0"/>
              <w:bottom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传输机密性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传输完整性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存储机密性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存储完整性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4" w:hRule="atLeast"/>
        </w:trPr>
        <w:tc>
          <w:tcPr>
            <w:tcW w:w="1574" w:type="dxa"/>
            <w:tcBorders>
              <w:top w:val="single" w:color="000000" w:sz="4" w:space="0"/>
              <w:bottom w:val="single" w:color="000000" w:sz="4" w:space="0"/>
              <w:right w:val="single" w:color="000000" w:sz="4" w:space="0"/>
            </w:tcBorders>
            <w:noWrap/>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color w:val="000000"/>
                <w:kern w:val="0"/>
                <w:sz w:val="24"/>
                <w:szCs w:val="24"/>
                <w:lang w:val="en-US" w:eastAsia="zh-CN"/>
              </w:rPr>
              <w:t>指标53</w:t>
            </w:r>
            <w:r>
              <w:rPr>
                <w:rFonts w:hint="eastAsia" w:asciiTheme="minorEastAsia" w:hAnsiTheme="minorEastAsia" w:eastAsiaTheme="minorEastAsia" w:cstheme="minorEastAsia"/>
                <w:b/>
                <w:bCs/>
                <w:sz w:val="24"/>
                <w:szCs w:val="24"/>
                <w:lang w:eastAsia="zh-CN"/>
              </w:rPr>
              <w:t>）</w:t>
            </w:r>
          </w:p>
        </w:tc>
        <w:tc>
          <w:tcPr>
            <w:tcW w:w="130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业务日志</w:t>
            </w:r>
          </w:p>
        </w:tc>
        <w:tc>
          <w:tcPr>
            <w:tcW w:w="304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ind w:firstLine="0" w:firstLineChars="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智慧民政一体化门户</w:t>
            </w:r>
            <w:r>
              <w:rPr>
                <w:rFonts w:hint="eastAsia" w:asciiTheme="minorEastAsia" w:hAnsiTheme="minorEastAsia" w:eastAsiaTheme="minorEastAsia" w:cstheme="minorEastAsia"/>
                <w:sz w:val="24"/>
                <w:szCs w:val="24"/>
                <w:lang w:eastAsia="zh-CN"/>
              </w:rPr>
              <w:t>、社会组织信息管理系统</w:t>
            </w:r>
            <w:r>
              <w:rPr>
                <w:rFonts w:hint="eastAsia" w:asciiTheme="minorEastAsia" w:hAnsiTheme="minorEastAsia" w:eastAsiaTheme="minorEastAsia" w:cstheme="minorEastAsia"/>
                <w:sz w:val="24"/>
                <w:szCs w:val="24"/>
              </w:rPr>
              <w:t>的重要业务日志。</w:t>
            </w:r>
          </w:p>
        </w:tc>
        <w:tc>
          <w:tcPr>
            <w:tcW w:w="1387"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p>
        </w:tc>
        <w:tc>
          <w:tcPr>
            <w:tcW w:w="1497" w:type="dxa"/>
            <w:tcBorders>
              <w:top w:val="single" w:color="000000" w:sz="4" w:space="0"/>
              <w:left w:val="single" w:color="000000" w:sz="4" w:space="0"/>
              <w:bottom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存储</w:t>
            </w:r>
            <w:r>
              <w:rPr>
                <w:rFonts w:hint="eastAsia" w:asciiTheme="minorEastAsia" w:hAnsiTheme="minorEastAsia" w:eastAsiaTheme="minorEastAsia" w:cstheme="minorEastAsia"/>
                <w:sz w:val="24"/>
                <w:szCs w:val="24"/>
              </w:rPr>
              <w:t>完整性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50" w:hRule="atLeast"/>
        </w:trPr>
        <w:tc>
          <w:tcPr>
            <w:tcW w:w="1574" w:type="dxa"/>
            <w:tcBorders>
              <w:top w:val="single" w:color="000000" w:sz="4" w:space="0"/>
              <w:bottom w:val="single" w:color="000000" w:sz="4" w:space="0"/>
              <w:right w:val="single" w:color="000000" w:sz="4" w:space="0"/>
            </w:tcBorders>
            <w:noWrap/>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color w:val="000000"/>
                <w:kern w:val="0"/>
                <w:sz w:val="24"/>
                <w:szCs w:val="24"/>
                <w:lang w:val="en-US" w:eastAsia="zh-CN"/>
              </w:rPr>
              <w:t>指标54</w:t>
            </w:r>
            <w:r>
              <w:rPr>
                <w:rFonts w:hint="eastAsia" w:asciiTheme="minorEastAsia" w:hAnsiTheme="minorEastAsia" w:eastAsiaTheme="minorEastAsia" w:cstheme="minorEastAsia"/>
                <w:b/>
                <w:bCs/>
                <w:sz w:val="24"/>
                <w:szCs w:val="24"/>
                <w:lang w:eastAsia="zh-CN"/>
              </w:rPr>
              <w:t>）</w:t>
            </w:r>
          </w:p>
        </w:tc>
        <w:tc>
          <w:tcPr>
            <w:tcW w:w="130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法人基本</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w:t>
            </w:r>
          </w:p>
        </w:tc>
        <w:tc>
          <w:tcPr>
            <w:tcW w:w="304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jc w:val="both"/>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包含社会组织法人的姓名、证件类型、证件编号、社团职务、家庭住址、电话、移动电话、是否为党代表、人大代表、政协委员、党政机关离退休干部、现职领导干部、军队人员、退役军人等</w:t>
            </w:r>
            <w:r>
              <w:rPr>
                <w:rFonts w:hint="eastAsia" w:asciiTheme="minorEastAsia" w:hAnsiTheme="minorEastAsia" w:eastAsiaTheme="minorEastAsia" w:cstheme="minorEastAsia"/>
                <w:sz w:val="24"/>
                <w:szCs w:val="24"/>
                <w:lang w:val="en-US" w:eastAsia="zh-CN"/>
              </w:rPr>
              <w:t>字段</w:t>
            </w:r>
            <w:r>
              <w:rPr>
                <w:rFonts w:hint="eastAsia" w:asciiTheme="minorEastAsia" w:hAnsiTheme="minorEastAsia" w:eastAsiaTheme="minorEastAsia" w:cstheme="minorEastAsia"/>
                <w:sz w:val="24"/>
                <w:szCs w:val="24"/>
                <w:lang w:eastAsia="zh-CN"/>
              </w:rPr>
              <w:t>。</w:t>
            </w:r>
          </w:p>
        </w:tc>
        <w:tc>
          <w:tcPr>
            <w:tcW w:w="1387"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社会组织</w:t>
            </w:r>
            <w:r>
              <w:rPr>
                <w:rFonts w:hint="eastAsia" w:asciiTheme="minorEastAsia" w:hAnsiTheme="minorEastAsia" w:eastAsiaTheme="minorEastAsia" w:cstheme="minorEastAsia"/>
                <w:sz w:val="24"/>
                <w:szCs w:val="24"/>
                <w:lang w:val="en-US" w:eastAsia="zh-CN"/>
              </w:rPr>
              <w:t>管理系统</w:t>
            </w:r>
          </w:p>
        </w:tc>
        <w:tc>
          <w:tcPr>
            <w:tcW w:w="1497" w:type="dxa"/>
            <w:tcBorders>
              <w:top w:val="single" w:color="000000" w:sz="4" w:space="0"/>
              <w:left w:val="single" w:color="000000" w:sz="4" w:space="0"/>
              <w:bottom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传输机密性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传输完整性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存储机密性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存储完整性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70" w:hRule="atLeast"/>
        </w:trPr>
        <w:tc>
          <w:tcPr>
            <w:tcW w:w="1574" w:type="dxa"/>
            <w:tcBorders>
              <w:top w:val="single" w:color="000000" w:sz="4" w:space="0"/>
              <w:bottom w:val="single" w:color="000000" w:sz="4" w:space="0"/>
              <w:right w:val="single" w:color="000000" w:sz="4" w:space="0"/>
            </w:tcBorders>
            <w:shd w:val="clear" w:color="auto" w:fill="E7E6E6"/>
            <w:noWrap/>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08"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w:t>
            </w:r>
          </w:p>
        </w:tc>
        <w:tc>
          <w:tcPr>
            <w:tcW w:w="3041"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widowControl/>
              <w:adjustRightInd w:val="0"/>
              <w:snapToGrid w:val="0"/>
              <w:spacing w:line="240" w:lineRule="auto"/>
              <w:ind w:firstLine="480" w:firstLineChars="20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描述</w:t>
            </w:r>
          </w:p>
        </w:tc>
        <w:tc>
          <w:tcPr>
            <w:tcW w:w="138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所属应用</w:t>
            </w:r>
          </w:p>
        </w:tc>
        <w:tc>
          <w:tcPr>
            <w:tcW w:w="1497" w:type="dxa"/>
            <w:tcBorders>
              <w:top w:val="single" w:color="000000" w:sz="4" w:space="0"/>
              <w:left w:val="single" w:color="000000" w:sz="4" w:space="0"/>
              <w:bottom w:val="single" w:color="000000" w:sz="4" w:space="0"/>
            </w:tcBorders>
            <w:shd w:val="clear" w:color="auto" w:fill="E7E6E6"/>
            <w:noWrap/>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50" w:hRule="atLeast"/>
        </w:trPr>
        <w:tc>
          <w:tcPr>
            <w:tcW w:w="1574" w:type="dxa"/>
            <w:tcBorders>
              <w:top w:val="single" w:color="000000" w:sz="4" w:space="0"/>
              <w:bottom w:val="single" w:color="000000" w:sz="4" w:space="0"/>
              <w:right w:val="single" w:color="000000" w:sz="4" w:space="0"/>
            </w:tcBorders>
            <w:noWrap/>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color w:val="000000"/>
                <w:kern w:val="0"/>
                <w:sz w:val="24"/>
                <w:szCs w:val="24"/>
                <w:lang w:val="en-US" w:eastAsia="zh-CN"/>
              </w:rPr>
              <w:t>指标55</w:t>
            </w:r>
            <w:r>
              <w:rPr>
                <w:rFonts w:hint="eastAsia" w:asciiTheme="minorEastAsia" w:hAnsiTheme="minorEastAsia" w:eastAsiaTheme="minorEastAsia" w:cstheme="minorEastAsia"/>
                <w:b/>
                <w:bCs/>
                <w:sz w:val="24"/>
                <w:szCs w:val="24"/>
                <w:lang w:eastAsia="zh-CN"/>
              </w:rPr>
              <w:t>）</w:t>
            </w:r>
          </w:p>
        </w:tc>
        <w:tc>
          <w:tcPr>
            <w:tcW w:w="130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会员基本</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w:t>
            </w:r>
          </w:p>
        </w:tc>
        <w:tc>
          <w:tcPr>
            <w:tcW w:w="304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ind w:firstLine="0" w:firstLineChars="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包括会员名称、工作单位、手机、通讯地址、会员代表名称、法人代表名称、电子邮箱、是否公职人员等</w:t>
            </w:r>
            <w:r>
              <w:rPr>
                <w:rFonts w:hint="eastAsia" w:asciiTheme="minorEastAsia" w:hAnsiTheme="minorEastAsia" w:eastAsiaTheme="minorEastAsia" w:cstheme="minorEastAsia"/>
                <w:sz w:val="24"/>
                <w:szCs w:val="24"/>
                <w:lang w:val="en-US" w:eastAsia="zh-CN"/>
              </w:rPr>
              <w:t>字段</w:t>
            </w:r>
            <w:r>
              <w:rPr>
                <w:rFonts w:hint="eastAsia" w:asciiTheme="minorEastAsia" w:hAnsiTheme="minorEastAsia" w:eastAsiaTheme="minorEastAsia" w:cstheme="minorEastAsia"/>
                <w:sz w:val="24"/>
                <w:szCs w:val="24"/>
              </w:rPr>
              <w:t>。</w:t>
            </w:r>
          </w:p>
        </w:tc>
        <w:tc>
          <w:tcPr>
            <w:tcW w:w="1387" w:type="dxa"/>
            <w:vMerge w:val="restart"/>
            <w:tcBorders>
              <w:left w:val="single" w:color="000000" w:sz="4" w:space="0"/>
              <w:right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社会组织</w:t>
            </w:r>
            <w:r>
              <w:rPr>
                <w:rFonts w:hint="eastAsia" w:asciiTheme="minorEastAsia" w:hAnsiTheme="minorEastAsia" w:eastAsiaTheme="minorEastAsia" w:cstheme="minorEastAsia"/>
                <w:sz w:val="24"/>
                <w:szCs w:val="24"/>
                <w:lang w:val="en-US" w:eastAsia="zh-CN"/>
              </w:rPr>
              <w:t>管理系统</w:t>
            </w:r>
          </w:p>
        </w:tc>
        <w:tc>
          <w:tcPr>
            <w:tcW w:w="1497" w:type="dxa"/>
            <w:tcBorders>
              <w:top w:val="single" w:color="000000" w:sz="4" w:space="0"/>
              <w:left w:val="single" w:color="000000" w:sz="4" w:space="0"/>
              <w:bottom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传输机密性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传输完整性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存储机密性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存储完整性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50" w:hRule="atLeast"/>
        </w:trPr>
        <w:tc>
          <w:tcPr>
            <w:tcW w:w="1574" w:type="dxa"/>
            <w:tcBorders>
              <w:top w:val="single" w:color="000000" w:sz="4" w:space="0"/>
              <w:bottom w:val="single" w:color="000000" w:sz="4" w:space="0"/>
              <w:right w:val="single" w:color="000000" w:sz="4" w:space="0"/>
            </w:tcBorders>
            <w:noWrap/>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color w:val="000000"/>
                <w:kern w:val="0"/>
                <w:sz w:val="24"/>
                <w:szCs w:val="24"/>
                <w:lang w:val="en-US" w:eastAsia="zh-CN"/>
              </w:rPr>
              <w:t>指标56</w:t>
            </w:r>
            <w:r>
              <w:rPr>
                <w:rFonts w:hint="eastAsia" w:asciiTheme="minorEastAsia" w:hAnsiTheme="minorEastAsia" w:eastAsiaTheme="minorEastAsia" w:cstheme="minorEastAsia"/>
                <w:sz w:val="24"/>
                <w:szCs w:val="24"/>
                <w:lang w:eastAsia="zh-CN"/>
              </w:rPr>
              <w:t>）</w:t>
            </w:r>
          </w:p>
        </w:tc>
        <w:tc>
          <w:tcPr>
            <w:tcW w:w="130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违法违规</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记录</w:t>
            </w:r>
          </w:p>
        </w:tc>
        <w:tc>
          <w:tcPr>
            <w:tcW w:w="304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ind w:firstLine="0" w:firstLineChars="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包含</w:t>
            </w:r>
            <w:r>
              <w:rPr>
                <w:rFonts w:hint="eastAsia" w:asciiTheme="minorEastAsia" w:hAnsiTheme="minorEastAsia" w:eastAsiaTheme="minorEastAsia" w:cstheme="minorEastAsia"/>
                <w:sz w:val="24"/>
                <w:szCs w:val="24"/>
              </w:rPr>
              <w:t>被处罚社会组织、撤销原因、撤销时间、撤销依据、经办人、当事人类型、案件来源等</w:t>
            </w:r>
            <w:r>
              <w:rPr>
                <w:rFonts w:hint="eastAsia" w:asciiTheme="minorEastAsia" w:hAnsiTheme="minorEastAsia" w:eastAsiaTheme="minorEastAsia" w:cstheme="minorEastAsia"/>
                <w:sz w:val="24"/>
                <w:szCs w:val="24"/>
                <w:lang w:val="en-US" w:eastAsia="zh-CN"/>
              </w:rPr>
              <w:t>字段</w:t>
            </w:r>
            <w:r>
              <w:rPr>
                <w:rFonts w:hint="eastAsia" w:asciiTheme="minorEastAsia" w:hAnsiTheme="minorEastAsia" w:eastAsiaTheme="minorEastAsia" w:cstheme="minorEastAsia"/>
                <w:sz w:val="24"/>
                <w:szCs w:val="24"/>
              </w:rPr>
              <w:t>。</w:t>
            </w:r>
          </w:p>
        </w:tc>
        <w:tc>
          <w:tcPr>
            <w:tcW w:w="1387" w:type="dxa"/>
            <w:vMerge w:val="continue"/>
            <w:tcBorders>
              <w:left w:val="single" w:color="000000" w:sz="4" w:space="0"/>
              <w:right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p>
        </w:tc>
        <w:tc>
          <w:tcPr>
            <w:tcW w:w="1497" w:type="dxa"/>
            <w:tcBorders>
              <w:top w:val="single" w:color="000000" w:sz="4" w:space="0"/>
              <w:left w:val="single" w:color="000000" w:sz="4" w:space="0"/>
              <w:bottom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传输机密性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传输完整性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存储机密性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存储完整性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50" w:hRule="atLeast"/>
        </w:trPr>
        <w:tc>
          <w:tcPr>
            <w:tcW w:w="1574" w:type="dxa"/>
            <w:tcBorders>
              <w:top w:val="single" w:color="000000" w:sz="4" w:space="0"/>
              <w:bottom w:val="single" w:color="000000" w:sz="4" w:space="0"/>
              <w:right w:val="single" w:color="000000" w:sz="4" w:space="0"/>
            </w:tcBorders>
            <w:noWrap/>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color w:val="000000"/>
                <w:kern w:val="0"/>
                <w:sz w:val="24"/>
                <w:szCs w:val="24"/>
                <w:lang w:val="en-US" w:eastAsia="zh-CN"/>
              </w:rPr>
              <w:t>指标57</w:t>
            </w:r>
            <w:r>
              <w:rPr>
                <w:rFonts w:hint="eastAsia" w:asciiTheme="minorEastAsia" w:hAnsiTheme="minorEastAsia" w:eastAsiaTheme="minorEastAsia" w:cstheme="minorEastAsia"/>
                <w:b/>
                <w:bCs/>
                <w:sz w:val="24"/>
                <w:szCs w:val="24"/>
                <w:lang w:eastAsia="zh-CN"/>
              </w:rPr>
              <w:t>）</w:t>
            </w:r>
          </w:p>
        </w:tc>
        <w:tc>
          <w:tcPr>
            <w:tcW w:w="130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慈善组织</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财务情况</w:t>
            </w:r>
          </w:p>
        </w:tc>
        <w:tc>
          <w:tcPr>
            <w:tcW w:w="304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ind w:firstLine="0" w:firstLineChars="0"/>
              <w:jc w:val="both"/>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包含慈善组织名称、慈善组织社会信用代码、慈善组织募捐数量、慈善组织募捐年份、慈善组织资金来源、慈善组织财务支出数量、慈善组织财务支出年份、慈善组织财务支出目标等字段</w:t>
            </w:r>
            <w:r>
              <w:rPr>
                <w:rFonts w:hint="eastAsia" w:asciiTheme="minorEastAsia" w:hAnsiTheme="minorEastAsia" w:eastAsiaTheme="minorEastAsia" w:cstheme="minorEastAsia"/>
                <w:sz w:val="24"/>
                <w:szCs w:val="24"/>
                <w:lang w:eastAsia="zh-CN"/>
              </w:rPr>
              <w:t>。</w:t>
            </w:r>
          </w:p>
        </w:tc>
        <w:tc>
          <w:tcPr>
            <w:tcW w:w="1387" w:type="dxa"/>
            <w:vMerge w:val="continue"/>
            <w:tcBorders>
              <w:left w:val="single" w:color="000000" w:sz="4" w:space="0"/>
              <w:right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p>
        </w:tc>
        <w:tc>
          <w:tcPr>
            <w:tcW w:w="1497" w:type="dxa"/>
            <w:tcBorders>
              <w:top w:val="single" w:color="000000" w:sz="4" w:space="0"/>
              <w:left w:val="single" w:color="000000" w:sz="4" w:space="0"/>
              <w:bottom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传输机密性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传输完整性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存储机密性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存储完整性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50" w:hRule="atLeast"/>
        </w:trPr>
        <w:tc>
          <w:tcPr>
            <w:tcW w:w="1574" w:type="dxa"/>
            <w:tcBorders>
              <w:top w:val="single" w:color="000000" w:sz="4" w:space="0"/>
              <w:right w:val="single" w:color="000000" w:sz="4" w:space="0"/>
            </w:tcBorders>
            <w:noWrap/>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color w:val="000000"/>
                <w:kern w:val="0"/>
                <w:sz w:val="24"/>
                <w:szCs w:val="24"/>
                <w:lang w:val="en-US" w:eastAsia="zh-CN"/>
              </w:rPr>
              <w:t>指标58</w:t>
            </w:r>
            <w:r>
              <w:rPr>
                <w:rFonts w:hint="eastAsia" w:asciiTheme="minorEastAsia" w:hAnsiTheme="minorEastAsia" w:eastAsiaTheme="minorEastAsia" w:cstheme="minorEastAsia"/>
                <w:b/>
                <w:bCs/>
                <w:sz w:val="24"/>
                <w:szCs w:val="24"/>
                <w:lang w:eastAsia="zh-CN"/>
              </w:rPr>
              <w:t>）</w:t>
            </w:r>
          </w:p>
        </w:tc>
        <w:tc>
          <w:tcPr>
            <w:tcW w:w="1308" w:type="dxa"/>
            <w:tcBorders>
              <w:top w:val="single" w:color="000000" w:sz="4" w:space="0"/>
              <w:left w:val="single" w:color="000000" w:sz="4" w:space="0"/>
              <w:right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监督执法检查</w:t>
            </w:r>
          </w:p>
        </w:tc>
        <w:tc>
          <w:tcPr>
            <w:tcW w:w="3041" w:type="dxa"/>
            <w:tcBorders>
              <w:top w:val="single" w:color="000000" w:sz="4" w:space="0"/>
              <w:left w:val="single" w:color="000000" w:sz="4" w:space="0"/>
              <w:right w:val="single" w:color="000000" w:sz="4" w:space="0"/>
            </w:tcBorders>
            <w:vAlign w:val="center"/>
          </w:tcPr>
          <w:p>
            <w:pPr>
              <w:widowControl/>
              <w:adjustRightInd w:val="0"/>
              <w:snapToGrid w:val="0"/>
              <w:spacing w:line="240" w:lineRule="auto"/>
              <w:ind w:firstLine="0" w:firstLineChars="0"/>
              <w:jc w:val="both"/>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包含被检查社会组织名称、检查种类、检查时间、检查地点、检查方式、监督发现问题、责令整改方式、责令整改时间、责令整改期满时间、整改结果等字段。</w:t>
            </w:r>
          </w:p>
        </w:tc>
        <w:tc>
          <w:tcPr>
            <w:tcW w:w="1387" w:type="dxa"/>
            <w:vMerge w:val="continue"/>
            <w:tcBorders>
              <w:left w:val="single" w:color="000000" w:sz="4" w:space="0"/>
              <w:right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p>
        </w:tc>
        <w:tc>
          <w:tcPr>
            <w:tcW w:w="1497" w:type="dxa"/>
            <w:tcBorders>
              <w:top w:val="single" w:color="000000" w:sz="4" w:space="0"/>
              <w:left w:val="single" w:color="000000" w:sz="4" w:space="0"/>
            </w:tcBorders>
            <w:vAlign w:val="center"/>
          </w:tcPr>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传输机密性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传输完整性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存储机密性</w:t>
            </w:r>
          </w:p>
          <w:p>
            <w:pPr>
              <w:widowControl/>
              <w:adjustRightInd w:val="0"/>
              <w:snapToGrid w:val="0"/>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存储完整性</w:t>
            </w:r>
          </w:p>
        </w:tc>
      </w:tr>
    </w:tbl>
    <w:p>
      <w:pPr>
        <w:spacing w:line="360" w:lineRule="auto"/>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2.2</w:t>
      </w:r>
      <w:r>
        <w:rPr>
          <w:rFonts w:hint="eastAsia" w:ascii="宋体" w:hAnsi="宋体" w:cs="Times New Roman"/>
          <w:b/>
          <w:bCs/>
          <w:sz w:val="24"/>
          <w:lang w:val="en-US" w:eastAsia="zh-CN"/>
        </w:rPr>
        <w:t>.2</w:t>
      </w:r>
      <w:r>
        <w:rPr>
          <w:rFonts w:hint="eastAsia" w:ascii="宋体" w:hAnsi="宋体" w:eastAsia="宋体" w:cs="Times New Roman"/>
          <w:b/>
          <w:bCs/>
          <w:sz w:val="24"/>
          <w:lang w:val="en-US" w:eastAsia="zh-CN"/>
        </w:rPr>
        <w:t>.2应用和数据安全密码应用</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1、</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指标59</w:t>
      </w:r>
      <w:r>
        <w:rPr>
          <w:rFonts w:hint="eastAsia" w:eastAsia="仿宋" w:cs="华文楷体"/>
          <w:b/>
          <w:bCs/>
          <w:sz w:val="21"/>
          <w:szCs w:val="21"/>
          <w:lang w:eastAsia="zh-CN"/>
        </w:rPr>
        <w:t>）</w:t>
      </w:r>
      <w:r>
        <w:rPr>
          <w:rFonts w:hint="eastAsia" w:cs="宋体" w:asciiTheme="minorEastAsia" w:hAnsiTheme="minorEastAsia" w:eastAsiaTheme="minorEastAsia"/>
          <w:color w:val="auto"/>
          <w:kern w:val="0"/>
          <w:sz w:val="24"/>
          <w:highlight w:val="none"/>
          <w:lang w:val="en-US" w:eastAsia="zh-CN"/>
        </w:rPr>
        <w:t>身份鉴别：用户通过使用智能密码钥匙结合数字证书，使用数字签名机制进行身份鉴别，确保登录用户的真实性；考虑到二/三级企业通过互联网访问的用户较多，系统保留用户名口令登录方式，通过逐步迭代的方式进行改造，数据库中登录口令采用SM4-CBC算法进行存储，使用手机短信验证码方式进行登录鉴别，可在一定程度降低风险。</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2、</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指标60</w:t>
      </w:r>
      <w:r>
        <w:rPr>
          <w:rFonts w:hint="eastAsia" w:eastAsia="仿宋" w:cs="华文楷体"/>
          <w:b/>
          <w:bCs/>
          <w:sz w:val="21"/>
          <w:szCs w:val="21"/>
          <w:lang w:eastAsia="zh-CN"/>
        </w:rPr>
        <w:t>）</w:t>
      </w:r>
      <w:r>
        <w:rPr>
          <w:rFonts w:hint="eastAsia" w:cs="宋体" w:asciiTheme="minorEastAsia" w:hAnsiTheme="minorEastAsia" w:eastAsiaTheme="minorEastAsia"/>
          <w:color w:val="auto"/>
          <w:kern w:val="0"/>
          <w:sz w:val="24"/>
          <w:highlight w:val="none"/>
          <w:lang w:val="en-US" w:eastAsia="zh-CN"/>
        </w:rPr>
        <w:t>访问控制信息完整性：通过调用云平台提供的云服务器密码机采用基于HMAC-SM3技术或调用签名验签服务器采用基于SM2withSM3数字签名技术，对系统中涉及访问控制信息进行完整性保护。</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3、</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指标61</w:t>
      </w:r>
      <w:r>
        <w:rPr>
          <w:rFonts w:hint="eastAsia" w:eastAsia="仿宋" w:cs="华文楷体"/>
          <w:b/>
          <w:bCs/>
          <w:sz w:val="21"/>
          <w:szCs w:val="21"/>
          <w:lang w:eastAsia="zh-CN"/>
        </w:rPr>
        <w:t>）</w:t>
      </w:r>
      <w:r>
        <w:rPr>
          <w:rFonts w:hint="eastAsia" w:cs="宋体" w:asciiTheme="minorEastAsia" w:hAnsiTheme="minorEastAsia" w:eastAsiaTheme="minorEastAsia"/>
          <w:color w:val="auto"/>
          <w:kern w:val="0"/>
          <w:sz w:val="24"/>
          <w:highlight w:val="none"/>
          <w:lang w:val="en-US" w:eastAsia="zh-CN"/>
        </w:rPr>
        <w:t>重要数据传输机密性：在“应用和数据安全”层面明文传输，在网络和通信安全层面，通过“网络和通信安全”层面建立安全传输通道（TLCP协议），对传输数据进行机密性保护，缓解数据传输过程中的风险。</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4、</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指标62</w:t>
      </w:r>
      <w:r>
        <w:rPr>
          <w:rFonts w:hint="eastAsia" w:eastAsia="仿宋" w:cs="华文楷体"/>
          <w:b/>
          <w:bCs/>
          <w:sz w:val="21"/>
          <w:szCs w:val="21"/>
          <w:lang w:eastAsia="zh-CN"/>
        </w:rPr>
        <w:t>）</w:t>
      </w:r>
      <w:r>
        <w:rPr>
          <w:rFonts w:hint="eastAsia" w:cs="宋体" w:asciiTheme="minorEastAsia" w:hAnsiTheme="minorEastAsia" w:eastAsiaTheme="minorEastAsia"/>
          <w:color w:val="auto"/>
          <w:kern w:val="0"/>
          <w:sz w:val="24"/>
          <w:highlight w:val="none"/>
          <w:lang w:val="en-US" w:eastAsia="zh-CN"/>
        </w:rPr>
        <w:t>重要数据存储机密性：通过调用云平台提供的云服务器密码机采用SM4-CBC算法对重要业务数据、用户隐私等重要数据进行机密性保护。</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5、</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指标63</w:t>
      </w:r>
      <w:r>
        <w:rPr>
          <w:rFonts w:hint="eastAsia" w:eastAsia="仿宋" w:cs="华文楷体"/>
          <w:b/>
          <w:bCs/>
          <w:sz w:val="21"/>
          <w:szCs w:val="21"/>
          <w:lang w:eastAsia="zh-CN"/>
        </w:rPr>
        <w:t>）</w:t>
      </w:r>
      <w:r>
        <w:rPr>
          <w:rFonts w:hint="eastAsia" w:cs="宋体" w:asciiTheme="minorEastAsia" w:hAnsiTheme="minorEastAsia" w:eastAsiaTheme="minorEastAsia"/>
          <w:color w:val="auto"/>
          <w:kern w:val="0"/>
          <w:sz w:val="24"/>
          <w:highlight w:val="none"/>
          <w:lang w:val="en-US" w:eastAsia="zh-CN"/>
        </w:rPr>
        <w:t>重要数据传输机密性：在“应用和数据安全”层面明文传输，在网络和通信安全层面，通过“网络和通信安全”层面建立安全传输通道（TLCP协议），对传输数据进行机密</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指标１</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指标１</w:t>
      </w:r>
      <w:r>
        <w:rPr>
          <w:rFonts w:hint="eastAsia" w:cs="宋体" w:asciiTheme="minorEastAsia" w:hAnsiTheme="minorEastAsia" w:eastAsiaTheme="minorEastAsia"/>
          <w:color w:val="auto"/>
          <w:kern w:val="0"/>
          <w:sz w:val="24"/>
          <w:highlight w:val="none"/>
          <w:lang w:val="en-US" w:eastAsia="zh-CN"/>
        </w:rPr>
        <w:t>重要数据存储完整性：通过调用云平台提供的云服务器密码机采用基于HMAC-SM3技术或调用签名验签服务器采用基于SM2withSM3数字签名技术，对系统中重要业务数据、日志记录等数据进行完整性保护。</w:t>
      </w:r>
    </w:p>
    <w:p>
      <w:pPr>
        <w:spacing w:line="360" w:lineRule="auto"/>
        <w:jc w:val="left"/>
        <w:rPr>
          <w:rFonts w:hint="eastAsia" w:ascii="宋体" w:hAnsi="宋体" w:eastAsia="宋体" w:cs="Times New Roman"/>
          <w:b/>
          <w:bCs/>
          <w:sz w:val="24"/>
          <w:lang w:val="en-US" w:eastAsia="zh-CN"/>
        </w:rPr>
      </w:pPr>
      <w:bookmarkStart w:id="17" w:name="_Toc74646372"/>
      <w:bookmarkStart w:id="18" w:name="_Toc89864642"/>
      <w:bookmarkStart w:id="19" w:name="_Toc74051884"/>
      <w:bookmarkStart w:id="20" w:name="_Toc74052005"/>
      <w:bookmarkStart w:id="21" w:name="_Toc61359800"/>
      <w:bookmarkStart w:id="22" w:name="_Toc74052126"/>
      <w:bookmarkStart w:id="23" w:name="_Toc74645981"/>
      <w:r>
        <w:rPr>
          <w:rFonts w:hint="eastAsia" w:ascii="宋体" w:hAnsi="宋体" w:eastAsia="宋体" w:cs="Times New Roman"/>
          <w:b/>
          <w:bCs/>
          <w:sz w:val="24"/>
          <w:lang w:val="en-US" w:eastAsia="zh-CN"/>
        </w:rPr>
        <w:t>2.2</w:t>
      </w:r>
      <w:r>
        <w:rPr>
          <w:rFonts w:hint="eastAsia" w:ascii="宋体" w:hAnsi="宋体" w:cs="Times New Roman"/>
          <w:b/>
          <w:bCs/>
          <w:sz w:val="24"/>
          <w:lang w:val="en-US" w:eastAsia="zh-CN"/>
        </w:rPr>
        <w:t>.2</w:t>
      </w:r>
      <w:r>
        <w:rPr>
          <w:rFonts w:hint="eastAsia" w:ascii="宋体" w:hAnsi="宋体" w:eastAsia="宋体" w:cs="Times New Roman"/>
          <w:b/>
          <w:bCs/>
          <w:sz w:val="24"/>
          <w:lang w:val="en-US" w:eastAsia="zh-CN"/>
        </w:rPr>
        <w:t>.3密钥服务体系</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1.</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指标64</w:t>
      </w:r>
      <w:r>
        <w:rPr>
          <w:rFonts w:hint="eastAsia" w:eastAsia="仿宋" w:cs="华文楷体"/>
          <w:b/>
          <w:bCs/>
          <w:sz w:val="21"/>
          <w:szCs w:val="21"/>
          <w:lang w:eastAsia="zh-CN"/>
        </w:rPr>
        <w:t>）</w:t>
      </w:r>
      <w:r>
        <w:rPr>
          <w:rFonts w:hint="eastAsia" w:cs="宋体" w:asciiTheme="minorEastAsia" w:hAnsiTheme="minorEastAsia" w:eastAsiaTheme="minorEastAsia"/>
          <w:color w:val="auto"/>
          <w:kern w:val="0"/>
          <w:sz w:val="24"/>
          <w:highlight w:val="none"/>
          <w:lang w:val="en-US" w:eastAsia="zh-CN"/>
        </w:rPr>
        <w:t>地主密钥</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保存在密码设备中，作用是加密保存，对称密钥（密钥加密密钥（KEK）/数据加密密钥）和非对称密钥（设备/应用/用户非对称密钥对）。</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2.</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指标65</w:t>
      </w:r>
      <w:r>
        <w:rPr>
          <w:rFonts w:hint="eastAsia" w:eastAsia="仿宋" w:cs="华文楷体"/>
          <w:b/>
          <w:bCs/>
          <w:sz w:val="21"/>
          <w:szCs w:val="21"/>
          <w:lang w:eastAsia="zh-CN"/>
        </w:rPr>
        <w:t>）</w:t>
      </w:r>
      <w:r>
        <w:rPr>
          <w:rFonts w:hint="eastAsia" w:cs="宋体" w:asciiTheme="minorEastAsia" w:hAnsiTheme="minorEastAsia" w:eastAsiaTheme="minorEastAsia"/>
          <w:color w:val="auto"/>
          <w:kern w:val="0"/>
          <w:sz w:val="24"/>
          <w:highlight w:val="none"/>
          <w:lang w:val="en-US" w:eastAsia="zh-CN"/>
        </w:rPr>
        <w:t>非对称密钥</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加密保存在密码设备中，不可读出，作用是用于对应设备和应用非对称加密解密、签名验签。</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3.</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指标66</w:t>
      </w:r>
      <w:r>
        <w:rPr>
          <w:rFonts w:hint="eastAsia" w:eastAsia="仿宋" w:cs="华文楷体"/>
          <w:b/>
          <w:bCs/>
          <w:sz w:val="21"/>
          <w:szCs w:val="21"/>
          <w:lang w:eastAsia="zh-CN"/>
        </w:rPr>
        <w:t>）</w:t>
      </w:r>
      <w:r>
        <w:rPr>
          <w:rFonts w:hint="eastAsia" w:cs="宋体" w:asciiTheme="minorEastAsia" w:hAnsiTheme="minorEastAsia" w:eastAsiaTheme="minorEastAsia"/>
          <w:color w:val="auto"/>
          <w:kern w:val="0"/>
          <w:sz w:val="24"/>
          <w:highlight w:val="none"/>
          <w:lang w:val="en-US" w:eastAsia="zh-CN"/>
        </w:rPr>
        <w:t>密钥加密密钥</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由本地主密钥加密后，保存在密码设备中，作用是下发工作或会话密钥时，保护工作或会话密钥。该类密钥在本方案中不作为密钥加密密钥，而直接作为业务系统数据加密密钥，用于数据存储过程中的机密性和完整性保护。</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4.</w:t>
      </w:r>
      <w:r>
        <w:rPr>
          <w:rFonts w:hint="eastAsia" w:eastAsia="仿宋" w:cs="华文楷体"/>
          <w:b/>
          <w:bCs/>
          <w:sz w:val="21"/>
          <w:szCs w:val="21"/>
          <w:lang w:eastAsia="zh-CN"/>
        </w:rPr>
        <w:t>（</w:t>
      </w:r>
      <w:r>
        <w:rPr>
          <w:rFonts w:hint="eastAsia" w:ascii="宋体" w:hAnsi="宋体"/>
          <w:b/>
          <w:bCs/>
          <w:color w:val="000000"/>
          <w:kern w:val="0"/>
          <w:szCs w:val="21"/>
          <w:lang w:val="en-US" w:eastAsia="zh-CN"/>
        </w:rPr>
        <w:t>指标67</w:t>
      </w:r>
      <w:r>
        <w:rPr>
          <w:rFonts w:hint="eastAsia" w:eastAsia="仿宋" w:cs="华文楷体"/>
          <w:b/>
          <w:bCs/>
          <w:sz w:val="21"/>
          <w:szCs w:val="21"/>
          <w:lang w:eastAsia="zh-CN"/>
        </w:rPr>
        <w:t>）</w:t>
      </w:r>
      <w:r>
        <w:rPr>
          <w:rFonts w:hint="eastAsia" w:cs="宋体" w:asciiTheme="minorEastAsia" w:hAnsiTheme="minorEastAsia" w:eastAsiaTheme="minorEastAsia"/>
          <w:color w:val="auto"/>
          <w:kern w:val="0"/>
          <w:sz w:val="24"/>
          <w:highlight w:val="none"/>
          <w:lang w:val="en-US" w:eastAsia="zh-CN"/>
        </w:rPr>
        <w:t>工作或会话密钥</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包括口令加密密钥、完整性校验密钥、报文加密密钥等，用于业务系统及系统之间的数据传输加解密服务。密钥管理为厦门市智慧民政一体化平台提供业务应用密钥的生成、分发、存储和注销的全生命周期管理。</w:t>
      </w:r>
    </w:p>
    <w:p>
      <w:pPr>
        <w:spacing w:line="360" w:lineRule="auto"/>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2.2</w:t>
      </w:r>
      <w:r>
        <w:rPr>
          <w:rFonts w:hint="eastAsia" w:ascii="宋体" w:hAnsi="宋体" w:cs="Times New Roman"/>
          <w:b/>
          <w:bCs/>
          <w:sz w:val="24"/>
          <w:lang w:val="en-US" w:eastAsia="zh-CN"/>
        </w:rPr>
        <w:t>.2</w:t>
      </w:r>
      <w:r>
        <w:rPr>
          <w:rFonts w:hint="eastAsia" w:ascii="宋体" w:hAnsi="宋体" w:eastAsia="宋体" w:cs="Times New Roman"/>
          <w:b/>
          <w:bCs/>
          <w:sz w:val="24"/>
          <w:lang w:val="en-US" w:eastAsia="zh-CN"/>
        </w:rPr>
        <w:t>.4非对称密钥管理</w:t>
      </w:r>
    </w:p>
    <w:p>
      <w:pPr>
        <w:widowControl/>
        <w:spacing w:line="360" w:lineRule="auto"/>
        <w:ind w:firstLine="421" w:firstLineChars="200"/>
        <w:jc w:val="left"/>
        <w:rPr>
          <w:rFonts w:hint="eastAsia" w:cs="宋体" w:asciiTheme="minorEastAsia" w:hAnsiTheme="minorEastAsia" w:eastAsiaTheme="minorEastAsia"/>
          <w:color w:val="auto"/>
          <w:kern w:val="0"/>
          <w:sz w:val="24"/>
          <w:highlight w:val="none"/>
          <w:lang w:val="en-US" w:eastAsia="zh-CN"/>
        </w:rPr>
      </w:pPr>
      <w:r>
        <w:rPr>
          <w:rFonts w:hint="eastAsia" w:eastAsia="仿宋" w:cs="华文楷体"/>
          <w:b/>
          <w:bCs/>
          <w:sz w:val="21"/>
          <w:szCs w:val="21"/>
          <w:lang w:eastAsia="zh-CN"/>
        </w:rPr>
        <w:t>（</w:t>
      </w:r>
      <w:r>
        <w:rPr>
          <w:rFonts w:hint="eastAsia" w:ascii="宋体" w:hAnsi="宋体"/>
          <w:b/>
          <w:bCs/>
          <w:color w:val="000000"/>
          <w:kern w:val="0"/>
          <w:szCs w:val="21"/>
          <w:lang w:val="en-US" w:eastAsia="zh-CN"/>
        </w:rPr>
        <w:t>指标68</w:t>
      </w:r>
      <w:r>
        <w:rPr>
          <w:rFonts w:hint="eastAsia" w:eastAsia="仿宋" w:cs="华文楷体"/>
          <w:b/>
          <w:bCs/>
          <w:sz w:val="21"/>
          <w:szCs w:val="21"/>
          <w:lang w:eastAsia="zh-CN"/>
        </w:rPr>
        <w:t>）</w:t>
      </w:r>
      <w:r>
        <w:rPr>
          <w:rFonts w:hint="eastAsia" w:cs="宋体" w:asciiTheme="minorEastAsia" w:hAnsiTheme="minorEastAsia" w:eastAsiaTheme="minorEastAsia"/>
          <w:color w:val="auto"/>
          <w:kern w:val="0"/>
          <w:sz w:val="24"/>
          <w:highlight w:val="none"/>
          <w:lang w:val="en-US" w:eastAsia="zh-CN"/>
        </w:rPr>
        <w:t>非对称密钥管理主要是设备和用户数字证书所对应的密钥的生成、存储、分发、导入、导出、使用、备份、恢复、归档与销毁等的生命周期管理。</w:t>
      </w:r>
    </w:p>
    <w:p>
      <w:pPr>
        <w:widowControl/>
        <w:spacing w:line="360" w:lineRule="auto"/>
        <w:ind w:firstLine="421" w:firstLineChars="200"/>
        <w:jc w:val="left"/>
        <w:rPr>
          <w:rFonts w:hint="eastAsia" w:cs="宋体" w:asciiTheme="minorEastAsia" w:hAnsiTheme="minorEastAsia" w:eastAsiaTheme="minorEastAsia"/>
          <w:color w:val="auto"/>
          <w:kern w:val="0"/>
          <w:sz w:val="24"/>
          <w:highlight w:val="none"/>
          <w:lang w:val="en-US" w:eastAsia="zh-CN"/>
        </w:rPr>
      </w:pPr>
      <w:r>
        <w:rPr>
          <w:rFonts w:hint="eastAsia" w:eastAsia="仿宋" w:cs="华文楷体"/>
          <w:b/>
          <w:bCs/>
          <w:sz w:val="21"/>
          <w:szCs w:val="21"/>
          <w:lang w:eastAsia="zh-CN"/>
        </w:rPr>
        <w:t>（</w:t>
      </w:r>
      <w:r>
        <w:rPr>
          <w:rFonts w:hint="eastAsia" w:ascii="宋体" w:hAnsi="宋体"/>
          <w:b/>
          <w:bCs/>
          <w:color w:val="000000"/>
          <w:kern w:val="0"/>
          <w:szCs w:val="21"/>
          <w:lang w:val="en-US" w:eastAsia="zh-CN"/>
        </w:rPr>
        <w:t>指标69</w:t>
      </w:r>
      <w:r>
        <w:rPr>
          <w:rFonts w:hint="eastAsia" w:eastAsia="仿宋" w:cs="华文楷体"/>
          <w:b/>
          <w:bCs/>
          <w:sz w:val="21"/>
          <w:szCs w:val="21"/>
          <w:lang w:eastAsia="zh-CN"/>
        </w:rPr>
        <w:t>）</w:t>
      </w:r>
      <w:r>
        <w:rPr>
          <w:rFonts w:hint="eastAsia" w:cs="宋体" w:asciiTheme="minorEastAsia" w:hAnsiTheme="minorEastAsia" w:eastAsiaTheme="minorEastAsia"/>
          <w:color w:val="auto"/>
          <w:kern w:val="0"/>
          <w:sz w:val="24"/>
          <w:highlight w:val="none"/>
          <w:lang w:val="en-US" w:eastAsia="zh-CN"/>
        </w:rPr>
        <w:t>厦门市智慧民政一体化平台由厦门市民政局负责设备、机构与用户数字证书的申请、更新、发放、注销管理。厦门市智慧民政一体化平台所使用的签名验签服务器、SSL VPN网关的设备证书/机构证书、平台用户证书使用由政务CA或第三方CA机构签发的SM2双证书。</w:t>
      </w:r>
    </w:p>
    <w:p>
      <w:pPr>
        <w:spacing w:line="360" w:lineRule="auto"/>
        <w:jc w:val="left"/>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2.2</w:t>
      </w:r>
      <w:r>
        <w:rPr>
          <w:rFonts w:hint="eastAsia" w:ascii="宋体" w:hAnsi="宋体" w:cs="Times New Roman"/>
          <w:b/>
          <w:bCs/>
          <w:sz w:val="24"/>
          <w:lang w:val="en-US" w:eastAsia="zh-CN"/>
        </w:rPr>
        <w:t>.2</w:t>
      </w:r>
      <w:r>
        <w:rPr>
          <w:rFonts w:hint="eastAsia" w:ascii="宋体" w:hAnsi="宋体" w:eastAsia="宋体" w:cs="Times New Roman"/>
          <w:b/>
          <w:bCs/>
          <w:sz w:val="24"/>
          <w:lang w:val="en-US" w:eastAsia="zh-CN"/>
        </w:rPr>
        <w:t>.5对称密钥管理</w:t>
      </w:r>
    </w:p>
    <w:p>
      <w:pPr>
        <w:widowControl w:val="0"/>
        <w:numPr>
          <w:ilvl w:val="0"/>
          <w:numId w:val="0"/>
        </w:numPr>
        <w:spacing w:line="360" w:lineRule="auto"/>
        <w:ind w:firstLine="421" w:firstLineChars="200"/>
        <w:rPr>
          <w:rFonts w:hint="default"/>
          <w:lang w:val="en-US" w:eastAsia="zh-CN"/>
        </w:rPr>
      </w:pPr>
      <w:r>
        <w:rPr>
          <w:rFonts w:hint="eastAsia" w:eastAsia="仿宋" w:cs="华文楷体"/>
          <w:b/>
          <w:bCs/>
          <w:sz w:val="21"/>
          <w:szCs w:val="21"/>
          <w:lang w:eastAsia="zh-CN"/>
        </w:rPr>
        <w:t>（</w:t>
      </w:r>
      <w:r>
        <w:rPr>
          <w:rFonts w:hint="eastAsia" w:ascii="宋体" w:hAnsi="宋体"/>
          <w:b/>
          <w:bCs/>
          <w:color w:val="000000"/>
          <w:kern w:val="0"/>
          <w:szCs w:val="21"/>
          <w:lang w:val="en-US" w:eastAsia="zh-CN"/>
        </w:rPr>
        <w:t>指标70</w:t>
      </w:r>
      <w:r>
        <w:rPr>
          <w:rFonts w:hint="eastAsia" w:eastAsia="仿宋" w:cs="华文楷体"/>
          <w:b/>
          <w:bCs/>
          <w:sz w:val="21"/>
          <w:szCs w:val="21"/>
          <w:lang w:eastAsia="zh-CN"/>
        </w:rPr>
        <w:t>）</w:t>
      </w:r>
      <w:r>
        <w:rPr>
          <w:rFonts w:hint="eastAsia" w:cs="宋体" w:asciiTheme="minorEastAsia" w:hAnsiTheme="minorEastAsia" w:eastAsiaTheme="minorEastAsia"/>
          <w:color w:val="auto"/>
          <w:kern w:val="0"/>
          <w:sz w:val="24"/>
          <w:highlight w:val="none"/>
          <w:lang w:val="en-US" w:eastAsia="zh-CN"/>
        </w:rPr>
        <w:t>厦门市智慧民政一体化平台对称密钥管理是针对数据存储过程中产生的数据机密性和完整性保护密钥，在数据传输过程中产生的会话密钥由安全网关、云服务器密码机、签名验签服务器等设备临时产生并管理使用。针对厦门市智慧民政一体化平台使用的数据存储密钥包括主密钥、数据加密密钥、MAC密钥等</w:t>
      </w:r>
      <w:bookmarkEnd w:id="17"/>
      <w:bookmarkEnd w:id="18"/>
      <w:bookmarkEnd w:id="19"/>
      <w:bookmarkEnd w:id="20"/>
      <w:bookmarkEnd w:id="21"/>
      <w:bookmarkEnd w:id="22"/>
      <w:bookmarkEnd w:id="23"/>
      <w:r>
        <w:rPr>
          <w:rFonts w:hint="eastAsia" w:cs="宋体" w:asciiTheme="minorEastAsia" w:hAnsiTheme="minorEastAsia" w:eastAsiaTheme="minorEastAsia"/>
          <w:color w:val="auto"/>
          <w:kern w:val="0"/>
          <w:sz w:val="24"/>
          <w:highlight w:val="none"/>
          <w:lang w:val="en-US" w:eastAsia="zh-CN"/>
        </w:rPr>
        <w:t>。</w:t>
      </w:r>
    </w:p>
    <w:p>
      <w:pPr>
        <w:pStyle w:val="3"/>
        <w:spacing w:before="240" w:after="240"/>
        <w:jc w:val="left"/>
        <w:rPr>
          <w:kern w:val="0"/>
        </w:rPr>
      </w:pPr>
      <w:r>
        <w:rPr>
          <w:rFonts w:hint="eastAsia"/>
          <w:kern w:val="0"/>
          <w:lang w:eastAsia="zh-CN"/>
        </w:rPr>
        <w:t>三</w:t>
      </w:r>
      <w:r>
        <w:rPr>
          <w:rFonts w:hint="eastAsia"/>
          <w:kern w:val="0"/>
        </w:rPr>
        <w:t>、验收标准</w:t>
      </w:r>
    </w:p>
    <w:p>
      <w:pPr>
        <w:spacing w:line="500" w:lineRule="exact"/>
        <w:ind w:firstLine="420"/>
        <w:rPr>
          <w:rFonts w:hint="eastAsia" w:ascii="Arial" w:hAnsi="Arial" w:cs="Arial"/>
        </w:rPr>
      </w:pPr>
      <w:r>
        <w:rPr>
          <w:rFonts w:hint="eastAsia" w:cs="Arial"/>
        </w:rPr>
        <w:t>1、</w:t>
      </w:r>
      <w:r>
        <w:rPr>
          <w:rFonts w:hint="eastAsia" w:ascii="Arial" w:hAnsi="Arial" w:cs="Arial"/>
        </w:rPr>
        <w:t>验收依据：</w:t>
      </w:r>
      <w:r>
        <w:rPr>
          <w:rFonts w:hint="eastAsia" w:ascii="Arial" w:hAnsi="Arial" w:cs="Arial"/>
          <w:lang w:eastAsia="zh-CN"/>
        </w:rPr>
        <w:t>磋商文件</w:t>
      </w:r>
      <w:r>
        <w:rPr>
          <w:rFonts w:hint="eastAsia" w:ascii="Arial" w:hAnsi="Arial" w:cs="Arial"/>
        </w:rPr>
        <w:t>、投标文件、厂家货物技术标准说明及国家有关的质量标准规定，均为验收依据。</w:t>
      </w:r>
    </w:p>
    <w:p>
      <w:pPr>
        <w:tabs>
          <w:tab w:val="left" w:pos="5460"/>
        </w:tabs>
        <w:spacing w:line="500" w:lineRule="exact"/>
        <w:ind w:firstLine="420" w:firstLineChars="200"/>
        <w:rPr>
          <w:rFonts w:hint="eastAsia" w:ascii="Arial" w:hAnsi="Arial" w:cs="Arial"/>
        </w:rPr>
      </w:pPr>
      <w:r>
        <w:rPr>
          <w:rFonts w:hint="eastAsia" w:cs="Arial"/>
        </w:rPr>
        <w:t>2、</w:t>
      </w:r>
      <w:r>
        <w:rPr>
          <w:rFonts w:hint="eastAsia" w:ascii="Arial" w:hAnsi="Arial" w:cs="Arial"/>
        </w:rPr>
        <w:t>系统验收：中标人根据招标要求进行设备安装、调试、测试后，由采购人或政府相关部门进行使用性能方面的验收。中标人应提出验收申请报告、提交系统性能测试报告、系统设计方案、程序原代码等各项技术文档资料。</w:t>
      </w:r>
    </w:p>
    <w:p>
      <w:pPr>
        <w:tabs>
          <w:tab w:val="left" w:pos="5460"/>
        </w:tabs>
        <w:spacing w:line="500" w:lineRule="exact"/>
        <w:ind w:firstLine="420" w:firstLineChars="200"/>
        <w:rPr>
          <w:rFonts w:hint="eastAsia" w:ascii="Arial" w:hAnsi="Arial" w:cs="Arial"/>
        </w:rPr>
      </w:pPr>
      <w:r>
        <w:rPr>
          <w:rFonts w:hint="eastAsia" w:cs="Arial"/>
        </w:rPr>
        <w:t>3、</w:t>
      </w:r>
      <w:r>
        <w:rPr>
          <w:rFonts w:hint="eastAsia" w:ascii="Arial" w:hAnsi="Arial" w:cs="Arial"/>
        </w:rPr>
        <w:t>采购人有权委托我国相关具有检验资质的部门、单位、机构针对中标货物的（软、硬件）精度、性能进行检验。其检验结果将作为验收标准的组成部分之一。</w:t>
      </w:r>
    </w:p>
    <w:p>
      <w:pPr>
        <w:spacing w:line="500" w:lineRule="exact"/>
        <w:ind w:firstLine="420"/>
        <w:rPr>
          <w:rFonts w:hint="eastAsia" w:ascii="Arial" w:hAnsi="Arial" w:cs="Arial"/>
        </w:rPr>
      </w:pPr>
      <w:r>
        <w:rPr>
          <w:rFonts w:hint="eastAsia" w:cs="Arial"/>
        </w:rPr>
        <w:t>4、</w:t>
      </w:r>
      <w:r>
        <w:rPr>
          <w:rFonts w:hint="eastAsia" w:ascii="Arial" w:hAnsi="Arial" w:cs="Arial"/>
        </w:rPr>
        <w:t>验收时中标人必须派代表参加。</w:t>
      </w:r>
    </w:p>
    <w:p>
      <w:pPr>
        <w:spacing w:line="500" w:lineRule="exact"/>
        <w:ind w:firstLine="420"/>
        <w:rPr>
          <w:rFonts w:hint="eastAsia" w:ascii="Arial" w:hAnsi="Arial" w:cs="Arial"/>
        </w:rPr>
      </w:pPr>
      <w:r>
        <w:rPr>
          <w:rFonts w:hint="eastAsia" w:ascii="Arial" w:hAnsi="Arial" w:cs="Arial"/>
        </w:rPr>
        <w:t>5、验收过程所产生的一切费用由中标人承担。</w:t>
      </w:r>
    </w:p>
    <w:p>
      <w:pPr>
        <w:pStyle w:val="3"/>
        <w:spacing w:before="240" w:after="240"/>
        <w:jc w:val="left"/>
        <w:rPr>
          <w:rFonts w:hint="eastAsia"/>
          <w:kern w:val="0"/>
        </w:rPr>
      </w:pPr>
      <w:r>
        <w:rPr>
          <w:rFonts w:hint="eastAsia"/>
          <w:kern w:val="0"/>
          <w:lang w:eastAsia="zh-CN"/>
        </w:rPr>
        <w:t>四</w:t>
      </w:r>
      <w:r>
        <w:rPr>
          <w:rFonts w:hint="eastAsia"/>
          <w:kern w:val="0"/>
        </w:rPr>
        <w:t>、商务条件</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包：1</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1、服务地点：采购人指定地点。</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2、服务时间：</w:t>
      </w:r>
      <w:r>
        <w:rPr>
          <w:rFonts w:hint="eastAsia" w:cs="宋体" w:asciiTheme="minorEastAsia" w:hAnsiTheme="minorEastAsia" w:eastAsiaTheme="minorEastAsia"/>
          <w:bCs/>
          <w:kern w:val="0"/>
          <w:sz w:val="24"/>
        </w:rPr>
        <w:t>在202</w:t>
      </w:r>
      <w:r>
        <w:rPr>
          <w:rFonts w:hint="eastAsia" w:cs="宋体" w:asciiTheme="minorEastAsia" w:hAnsiTheme="minorEastAsia" w:eastAsiaTheme="minorEastAsia"/>
          <w:bCs/>
          <w:kern w:val="0"/>
          <w:sz w:val="24"/>
          <w:lang w:val="en-US" w:eastAsia="zh-CN"/>
        </w:rPr>
        <w:t>5</w:t>
      </w:r>
      <w:r>
        <w:rPr>
          <w:rFonts w:hint="eastAsia" w:cs="宋体" w:asciiTheme="minorEastAsia" w:hAnsiTheme="minorEastAsia" w:eastAsiaTheme="minorEastAsia"/>
          <w:bCs/>
          <w:kern w:val="0"/>
          <w:sz w:val="24"/>
        </w:rPr>
        <w:t>年</w:t>
      </w:r>
      <w:r>
        <w:rPr>
          <w:rFonts w:hint="eastAsia" w:cs="宋体" w:asciiTheme="minorEastAsia" w:hAnsiTheme="minorEastAsia" w:eastAsiaTheme="minorEastAsia"/>
          <w:bCs/>
          <w:kern w:val="0"/>
          <w:sz w:val="24"/>
          <w:lang w:val="en-US" w:eastAsia="zh-CN"/>
        </w:rPr>
        <w:t>11</w:t>
      </w:r>
      <w:r>
        <w:rPr>
          <w:rFonts w:hint="eastAsia" w:cs="宋体" w:asciiTheme="minorEastAsia" w:hAnsiTheme="minorEastAsia" w:eastAsiaTheme="minorEastAsia"/>
          <w:bCs/>
          <w:kern w:val="0"/>
          <w:sz w:val="24"/>
        </w:rPr>
        <w:t>月</w:t>
      </w:r>
      <w:r>
        <w:rPr>
          <w:rFonts w:hint="eastAsia" w:cs="宋体" w:asciiTheme="minorEastAsia" w:hAnsiTheme="minorEastAsia" w:eastAsiaTheme="minorEastAsia"/>
          <w:bCs/>
          <w:kern w:val="0"/>
          <w:sz w:val="24"/>
          <w:lang w:val="en-US" w:eastAsia="zh-CN"/>
        </w:rPr>
        <w:t>30日</w:t>
      </w:r>
      <w:r>
        <w:rPr>
          <w:rFonts w:hint="eastAsia" w:cs="宋体" w:asciiTheme="minorEastAsia" w:hAnsiTheme="minorEastAsia" w:eastAsiaTheme="minorEastAsia"/>
          <w:bCs/>
          <w:kern w:val="0"/>
          <w:sz w:val="24"/>
        </w:rPr>
        <w:t>前全部完成，</w:t>
      </w:r>
      <w:r>
        <w:rPr>
          <w:rFonts w:hint="eastAsia" w:ascii="宋体" w:hAnsi="宋体" w:cs="宋体"/>
          <w:kern w:val="0"/>
          <w:sz w:val="24"/>
        </w:rPr>
        <w:t>并通过</w:t>
      </w:r>
      <w:r>
        <w:rPr>
          <w:rFonts w:hint="eastAsia" w:ascii="宋体" w:hAnsi="宋体" w:cs="宋体"/>
          <w:kern w:val="0"/>
          <w:sz w:val="24"/>
          <w:lang w:val="en-US" w:eastAsia="zh-CN"/>
        </w:rPr>
        <w:t>2025年等保测评和</w:t>
      </w:r>
      <w:r>
        <w:rPr>
          <w:rFonts w:hint="eastAsia" w:ascii="宋体" w:hAnsi="宋体" w:cs="宋体"/>
          <w:kern w:val="0"/>
          <w:sz w:val="24"/>
        </w:rPr>
        <w:t>商用密码应用安全性评估</w:t>
      </w:r>
      <w:r>
        <w:rPr>
          <w:rFonts w:hint="eastAsia" w:cs="宋体" w:asciiTheme="minorEastAsia" w:hAnsiTheme="minorEastAsia" w:eastAsiaTheme="minorEastAsia"/>
          <w:bCs/>
          <w:kern w:val="0"/>
          <w:sz w:val="24"/>
        </w:rPr>
        <w:t>。</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3、服务通过验收条件：</w:t>
      </w:r>
      <w:r>
        <w:rPr>
          <w:rFonts w:hint="eastAsia" w:ascii="宋体" w:hAnsi="宋体" w:cs="宋体"/>
          <w:kern w:val="0"/>
          <w:sz w:val="24"/>
        </w:rPr>
        <w:t>项目完成并通过</w:t>
      </w:r>
      <w:r>
        <w:rPr>
          <w:rFonts w:hint="eastAsia" w:ascii="宋体" w:hAnsi="宋体" w:cs="宋体"/>
          <w:kern w:val="0"/>
          <w:sz w:val="24"/>
          <w:lang w:val="en-US" w:eastAsia="zh-CN"/>
        </w:rPr>
        <w:t>2025年等保测评、</w:t>
      </w:r>
      <w:r>
        <w:rPr>
          <w:rFonts w:hint="eastAsia" w:ascii="宋体" w:hAnsi="宋体" w:cs="宋体"/>
          <w:kern w:val="0"/>
          <w:sz w:val="24"/>
        </w:rPr>
        <w:t>商用密码应用安全性评估</w:t>
      </w:r>
      <w:r>
        <w:rPr>
          <w:rFonts w:hint="eastAsia" w:ascii="宋体" w:hAnsi="宋体" w:cs="宋体"/>
          <w:kern w:val="0"/>
          <w:sz w:val="24"/>
          <w:lang w:eastAsia="zh-CN"/>
        </w:rPr>
        <w:t>。</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4、是否收取履约保证金：否</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5、是否邀请投标人参与验收：否</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6、验收方式数据表格</w:t>
      </w:r>
    </w:p>
    <w:tbl>
      <w:tblPr>
        <w:tblStyle w:val="40"/>
        <w:tblW w:w="0" w:type="auto"/>
        <w:tblInd w:w="47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81"/>
        <w:gridCol w:w="692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18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rPr>
            </w:pPr>
            <w:r>
              <w:rPr>
                <w:rFonts w:hint="eastAsia" w:ascii="宋体" w:hAnsi="宋体" w:eastAsia="宋体" w:cs="宋体"/>
                <w:kern w:val="0"/>
                <w:sz w:val="24"/>
              </w:rPr>
              <w:t>验收期次</w:t>
            </w:r>
          </w:p>
        </w:tc>
        <w:tc>
          <w:tcPr>
            <w:tcW w:w="692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rPr>
            </w:pPr>
            <w:r>
              <w:rPr>
                <w:rFonts w:hint="eastAsia" w:ascii="宋体" w:hAnsi="宋体" w:eastAsia="宋体" w:cs="宋体"/>
                <w:kern w:val="0"/>
                <w:sz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8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rPr>
            </w:pPr>
            <w:r>
              <w:rPr>
                <w:rFonts w:hint="eastAsia" w:ascii="宋体" w:hAnsi="宋体" w:eastAsia="宋体" w:cs="宋体"/>
                <w:kern w:val="0"/>
                <w:sz w:val="24"/>
              </w:rPr>
              <w:t>1</w:t>
            </w:r>
          </w:p>
        </w:tc>
        <w:tc>
          <w:tcPr>
            <w:tcW w:w="692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both"/>
              <w:textAlignment w:val="auto"/>
              <w:rPr>
                <w:rFonts w:hint="eastAsia" w:ascii="宋体" w:hAnsi="宋体" w:eastAsia="宋体" w:cs="宋体"/>
                <w:kern w:val="0"/>
                <w:sz w:val="24"/>
              </w:rPr>
            </w:pPr>
            <w:r>
              <w:rPr>
                <w:rFonts w:hint="eastAsia" w:ascii="宋体" w:hAnsi="宋体" w:eastAsia="宋体" w:cs="宋体"/>
                <w:kern w:val="0"/>
                <w:sz w:val="24"/>
              </w:rPr>
              <w:t>验收依据：</w:t>
            </w:r>
            <w:r>
              <w:rPr>
                <w:rFonts w:hint="eastAsia" w:ascii="宋体" w:hAnsi="宋体" w:cs="宋体"/>
                <w:kern w:val="0"/>
                <w:sz w:val="24"/>
                <w:lang w:eastAsia="zh-CN"/>
              </w:rPr>
              <w:t>磋商文件</w:t>
            </w:r>
            <w:r>
              <w:rPr>
                <w:rFonts w:hint="eastAsia" w:ascii="宋体" w:hAnsi="宋体" w:eastAsia="宋体" w:cs="宋体"/>
                <w:kern w:val="0"/>
                <w:sz w:val="24"/>
              </w:rPr>
              <w:t>、投标文件、合同、国家有关的质量标准规定，相关的行业标准，均为验收依据。</w:t>
            </w:r>
          </w:p>
        </w:tc>
      </w:tr>
    </w:tbl>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lang w:val="en-US" w:eastAsia="zh-CN"/>
        </w:rPr>
      </w:pPr>
      <w:r>
        <w:rPr>
          <w:rFonts w:hint="eastAsia" w:cs="宋体" w:asciiTheme="minorEastAsia" w:hAnsiTheme="minorEastAsia" w:eastAsiaTheme="minorEastAsia"/>
          <w:color w:val="auto"/>
          <w:kern w:val="0"/>
          <w:sz w:val="24"/>
          <w:highlight w:val="none"/>
          <w:lang w:val="en-US" w:eastAsia="zh-CN"/>
        </w:rPr>
        <w:t>7、支付方式数据表格</w:t>
      </w:r>
    </w:p>
    <w:tbl>
      <w:tblPr>
        <w:tblStyle w:val="40"/>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56"/>
        <w:gridCol w:w="1656"/>
        <w:gridCol w:w="443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205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rPr>
            </w:pPr>
            <w:r>
              <w:rPr>
                <w:rFonts w:hint="eastAsia" w:ascii="宋体" w:hAnsi="宋体" w:eastAsia="宋体" w:cs="宋体"/>
                <w:kern w:val="0"/>
                <w:sz w:val="24"/>
              </w:rPr>
              <w:t>支付期次</w:t>
            </w:r>
          </w:p>
        </w:tc>
        <w:tc>
          <w:tcPr>
            <w:tcW w:w="165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rPr>
            </w:pPr>
            <w:r>
              <w:rPr>
                <w:rFonts w:hint="eastAsia" w:ascii="宋体" w:hAnsi="宋体" w:eastAsia="宋体" w:cs="宋体"/>
                <w:kern w:val="0"/>
                <w:sz w:val="24"/>
              </w:rPr>
              <w:t>支付比例(%)</w:t>
            </w:r>
          </w:p>
        </w:tc>
        <w:tc>
          <w:tcPr>
            <w:tcW w:w="443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rPr>
            </w:pPr>
            <w:r>
              <w:rPr>
                <w:rFonts w:hint="eastAsia" w:ascii="宋体" w:hAnsi="宋体" w:eastAsia="宋体" w:cs="宋体"/>
                <w:kern w:val="0"/>
                <w:sz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5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4"/>
              </w:rPr>
            </w:pPr>
            <w:r>
              <w:rPr>
                <w:rFonts w:hint="eastAsia" w:ascii="宋体" w:hAnsi="宋体" w:eastAsia="宋体" w:cs="宋体"/>
                <w:kern w:val="0"/>
                <w:sz w:val="24"/>
              </w:rPr>
              <w:t>1</w:t>
            </w:r>
          </w:p>
        </w:tc>
        <w:tc>
          <w:tcPr>
            <w:tcW w:w="165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60</w:t>
            </w:r>
          </w:p>
        </w:tc>
        <w:tc>
          <w:tcPr>
            <w:tcW w:w="443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both"/>
              <w:textAlignment w:val="auto"/>
              <w:rPr>
                <w:rFonts w:hint="eastAsia" w:ascii="宋体" w:hAnsi="宋体" w:cs="宋体"/>
                <w:color w:val="auto"/>
                <w:kern w:val="0"/>
                <w:sz w:val="24"/>
              </w:rPr>
            </w:pPr>
            <w:r>
              <w:rPr>
                <w:rFonts w:hint="eastAsia" w:ascii="宋体" w:hAnsi="宋体" w:cs="宋体"/>
                <w:color w:val="auto"/>
                <w:kern w:val="0"/>
                <w:sz w:val="24"/>
                <w:lang w:eastAsia="zh-CN"/>
              </w:rPr>
              <w:t>合同</w:t>
            </w:r>
            <w:r>
              <w:rPr>
                <w:rFonts w:hint="eastAsia" w:ascii="宋体" w:hAnsi="宋体" w:cs="宋体"/>
                <w:color w:val="auto"/>
                <w:kern w:val="0"/>
                <w:sz w:val="24"/>
              </w:rPr>
              <w:t>签订之日起且收到发票后</w:t>
            </w:r>
            <w:r>
              <w:rPr>
                <w:rFonts w:hint="eastAsia" w:ascii="宋体" w:hAnsi="宋体" w:cs="宋体"/>
                <w:color w:val="auto"/>
                <w:kern w:val="0"/>
                <w:sz w:val="24"/>
                <w:lang w:val="en-US" w:eastAsia="zh-CN"/>
              </w:rPr>
              <w:t>5</w:t>
            </w:r>
            <w:r>
              <w:rPr>
                <w:rFonts w:hint="eastAsia" w:ascii="宋体" w:hAnsi="宋体" w:cs="宋体"/>
                <w:color w:val="auto"/>
                <w:kern w:val="0"/>
                <w:sz w:val="24"/>
              </w:rPr>
              <w:t>个工作日内</w:t>
            </w:r>
            <w:r>
              <w:rPr>
                <w:rFonts w:hint="eastAsia" w:ascii="宋体" w:hAnsi="宋体" w:cs="宋体"/>
                <w:color w:val="auto"/>
                <w:kern w:val="0"/>
                <w:sz w:val="24"/>
                <w:lang w:eastAsia="zh-CN"/>
              </w:rPr>
              <w:t>支付</w:t>
            </w:r>
            <w:r>
              <w:rPr>
                <w:rFonts w:hint="eastAsia" w:ascii="宋体" w:hAnsi="宋体" w:cs="宋体"/>
                <w:color w:val="auto"/>
                <w:kern w:val="0"/>
                <w:sz w:val="24"/>
              </w:rPr>
              <w:t>合同金额的</w:t>
            </w:r>
            <w:r>
              <w:rPr>
                <w:rFonts w:hint="eastAsia" w:ascii="宋体" w:hAnsi="宋体" w:cs="宋体"/>
                <w:color w:val="auto"/>
                <w:kern w:val="0"/>
                <w:sz w:val="24"/>
                <w:lang w:val="en-US" w:eastAsia="zh-CN"/>
              </w:rPr>
              <w:t>6</w:t>
            </w:r>
            <w:r>
              <w:rPr>
                <w:rFonts w:hint="eastAsia" w:ascii="宋体" w:hAnsi="宋体" w:cs="宋体"/>
                <w:color w:val="auto"/>
                <w:kern w:val="0"/>
                <w:sz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5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4"/>
              </w:rPr>
            </w:pPr>
            <w:r>
              <w:rPr>
                <w:rFonts w:hint="eastAsia" w:ascii="宋体" w:hAnsi="宋体" w:eastAsia="宋体" w:cs="宋体"/>
                <w:kern w:val="0"/>
                <w:sz w:val="24"/>
              </w:rPr>
              <w:t>2</w:t>
            </w:r>
          </w:p>
        </w:tc>
        <w:tc>
          <w:tcPr>
            <w:tcW w:w="165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40</w:t>
            </w:r>
          </w:p>
        </w:tc>
        <w:tc>
          <w:tcPr>
            <w:tcW w:w="443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both"/>
              <w:textAlignment w:val="auto"/>
              <w:rPr>
                <w:rFonts w:hint="eastAsia" w:ascii="宋体" w:hAnsi="宋体" w:eastAsia="宋体" w:cs="宋体"/>
                <w:kern w:val="0"/>
                <w:sz w:val="24"/>
              </w:rPr>
            </w:pPr>
            <w:r>
              <w:rPr>
                <w:rFonts w:hint="eastAsia" w:ascii="宋体" w:hAnsi="宋体" w:cs="宋体"/>
                <w:kern w:val="0"/>
                <w:sz w:val="24"/>
              </w:rPr>
              <w:t>项目完成并通过</w:t>
            </w:r>
            <w:r>
              <w:rPr>
                <w:rFonts w:hint="eastAsia" w:ascii="宋体" w:hAnsi="宋体" w:cs="宋体"/>
                <w:kern w:val="0"/>
                <w:sz w:val="24"/>
                <w:lang w:val="en-US" w:eastAsia="zh-CN"/>
              </w:rPr>
              <w:t>验收后5</w:t>
            </w:r>
            <w:r>
              <w:rPr>
                <w:rFonts w:hint="eastAsia" w:ascii="宋体" w:hAnsi="宋体" w:cs="宋体"/>
                <w:color w:val="auto"/>
                <w:kern w:val="0"/>
                <w:sz w:val="24"/>
              </w:rPr>
              <w:t>个工作日内</w:t>
            </w:r>
            <w:r>
              <w:rPr>
                <w:rFonts w:hint="eastAsia" w:ascii="宋体" w:hAnsi="宋体" w:cs="宋体"/>
                <w:color w:val="auto"/>
                <w:kern w:val="0"/>
                <w:sz w:val="24"/>
                <w:lang w:eastAsia="zh-CN"/>
              </w:rPr>
              <w:t>支付</w:t>
            </w:r>
            <w:r>
              <w:rPr>
                <w:rFonts w:hint="eastAsia" w:ascii="宋体" w:hAnsi="宋体" w:cs="宋体"/>
                <w:color w:val="auto"/>
                <w:kern w:val="0"/>
                <w:sz w:val="24"/>
              </w:rPr>
              <w:t>合同金额的</w:t>
            </w:r>
            <w:r>
              <w:rPr>
                <w:rFonts w:hint="eastAsia" w:ascii="宋体" w:hAnsi="宋体" w:cs="宋体"/>
                <w:color w:val="auto"/>
                <w:kern w:val="0"/>
                <w:sz w:val="24"/>
                <w:lang w:val="en-US" w:eastAsia="zh-CN"/>
              </w:rPr>
              <w:t>4</w:t>
            </w:r>
            <w:r>
              <w:rPr>
                <w:rFonts w:hint="eastAsia" w:ascii="宋体" w:hAnsi="宋体" w:cs="宋体"/>
                <w:color w:val="auto"/>
                <w:kern w:val="0"/>
                <w:sz w:val="24"/>
              </w:rPr>
              <w:t>0%。</w:t>
            </w:r>
          </w:p>
        </w:tc>
      </w:tr>
    </w:tbl>
    <w:p>
      <w:pPr>
        <w:rPr>
          <w:rFonts w:hint="eastAsia"/>
        </w:rPr>
      </w:pPr>
    </w:p>
    <w:p>
      <w:pPr>
        <w:pStyle w:val="3"/>
        <w:spacing w:before="240" w:after="240"/>
        <w:jc w:val="left"/>
        <w:rPr>
          <w:rFonts w:hint="eastAsia" w:ascii="宋体" w:hAnsi="宋体" w:eastAsia="宋体" w:cs="Times New Roman"/>
          <w:b/>
          <w:bCs/>
          <w:kern w:val="0"/>
          <w:lang w:eastAsia="zh-CN"/>
        </w:rPr>
      </w:pPr>
      <w:r>
        <w:rPr>
          <w:rFonts w:hint="eastAsia" w:ascii="宋体" w:hAnsi="宋体" w:eastAsia="宋体" w:cs="Times New Roman"/>
          <w:b/>
          <w:bCs/>
          <w:kern w:val="0"/>
          <w:lang w:eastAsia="zh-CN"/>
        </w:rPr>
        <w:t>五、报价要求</w:t>
      </w:r>
    </w:p>
    <w:p>
      <w:pPr>
        <w:pStyle w:val="67"/>
        <w:numPr>
          <w:ilvl w:val="0"/>
          <w:numId w:val="0"/>
        </w:numPr>
        <w:tabs>
          <w:tab w:val="left" w:pos="993"/>
        </w:tabs>
        <w:spacing w:line="360" w:lineRule="auto"/>
        <w:ind w:left="425" w:leftChars="0"/>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1、本次招标为整体采购的交钥匙项目，投标人必须对采购项目的所有内容及服务进行完整报价响应。拆分报价或不完整响应的将视为无效报价。</w:t>
      </w:r>
    </w:p>
    <w:p>
      <w:pPr>
        <w:pStyle w:val="67"/>
        <w:numPr>
          <w:ilvl w:val="0"/>
          <w:numId w:val="0"/>
        </w:numPr>
        <w:tabs>
          <w:tab w:val="left" w:pos="993"/>
        </w:tabs>
        <w:spacing w:line="360" w:lineRule="auto"/>
        <w:ind w:left="425" w:leftChars="0"/>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2、报价须以人民币为货币单位。</w:t>
      </w:r>
    </w:p>
    <w:p>
      <w:pPr>
        <w:pStyle w:val="67"/>
        <w:numPr>
          <w:ilvl w:val="0"/>
          <w:numId w:val="0"/>
        </w:numPr>
        <w:tabs>
          <w:tab w:val="left" w:pos="993"/>
        </w:tabs>
        <w:spacing w:line="360" w:lineRule="auto"/>
        <w:ind w:left="425" w:leftChars="0"/>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3、投标报价为包含本任务中所有可能发生的费用（即所需一切人工、物耗、工具、设备、保险、税费和所有可能发生的相关费用），安装、调试、试运行、系统集成、培训、资料图册提供和运维期技术支持及运行维护费用（含运维期内的上门服务）等，所有费用计入总报价。投标报价应包括已付的全部销售税和其他税。</w:t>
      </w:r>
    </w:p>
    <w:p>
      <w:pPr>
        <w:pStyle w:val="67"/>
        <w:numPr>
          <w:ilvl w:val="0"/>
          <w:numId w:val="0"/>
        </w:numPr>
        <w:tabs>
          <w:tab w:val="left" w:pos="993"/>
        </w:tabs>
        <w:spacing w:line="360" w:lineRule="auto"/>
        <w:ind w:left="425" w:leftChars="0"/>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4、致使平台未能达到需求的功能和效果，其费用和后果由中标人自行负责。</w:t>
      </w:r>
    </w:p>
    <w:p>
      <w:pPr>
        <w:pStyle w:val="67"/>
        <w:numPr>
          <w:ilvl w:val="0"/>
          <w:numId w:val="0"/>
        </w:numPr>
        <w:tabs>
          <w:tab w:val="left" w:pos="993"/>
        </w:tabs>
        <w:spacing w:line="360" w:lineRule="auto"/>
        <w:ind w:left="425" w:leftChars="0"/>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5、本</w:t>
      </w:r>
      <w:r>
        <w:rPr>
          <w:rFonts w:hint="eastAsia" w:ascii="宋体" w:hAnsi="宋体" w:cs="Times New Roman"/>
          <w:sz w:val="24"/>
          <w:szCs w:val="28"/>
          <w:lang w:val="en-US" w:eastAsia="zh-CN"/>
        </w:rPr>
        <w:t>磋商文件</w:t>
      </w:r>
      <w:r>
        <w:rPr>
          <w:rFonts w:hint="eastAsia" w:ascii="宋体" w:hAnsi="宋体" w:eastAsia="宋体" w:cs="Times New Roman"/>
          <w:sz w:val="24"/>
          <w:szCs w:val="28"/>
          <w:lang w:val="en-US" w:eastAsia="zh-CN"/>
        </w:rPr>
        <w:t>所要求内容应视为保证系统运行所需最低要求，如有遗漏，投标人应予补充，否则，一旦成交将认为中标人认同遗漏部分并免费提供。</w:t>
      </w:r>
    </w:p>
    <w:p>
      <w:pPr>
        <w:pStyle w:val="67"/>
        <w:numPr>
          <w:ilvl w:val="0"/>
          <w:numId w:val="0"/>
        </w:numPr>
        <w:tabs>
          <w:tab w:val="left" w:pos="993"/>
        </w:tabs>
        <w:spacing w:line="360" w:lineRule="auto"/>
        <w:ind w:left="425" w:leftChars="0"/>
        <w:rPr>
          <w:rFonts w:hint="eastAsia" w:ascii="宋体" w:hAnsi="宋体" w:eastAsia="宋体" w:cs="Times New Roman"/>
          <w:sz w:val="24"/>
          <w:szCs w:val="28"/>
          <w:lang w:val="en-US" w:eastAsia="zh-CN"/>
        </w:rPr>
      </w:pPr>
      <w:r>
        <w:rPr>
          <w:rFonts w:hint="eastAsia" w:ascii="宋体" w:hAnsi="宋体" w:eastAsia="宋体" w:cs="Times New Roman"/>
          <w:sz w:val="24"/>
          <w:szCs w:val="28"/>
          <w:lang w:val="en-US" w:eastAsia="zh-CN"/>
        </w:rPr>
        <w:t>6、投标人对本项目只能有一个报价，采购人不接受有选择的报价。</w:t>
      </w:r>
    </w:p>
    <w:p>
      <w:pPr>
        <w:pStyle w:val="67"/>
        <w:numPr>
          <w:ilvl w:val="0"/>
          <w:numId w:val="0"/>
        </w:numPr>
        <w:tabs>
          <w:tab w:val="left" w:pos="993"/>
        </w:tabs>
        <w:spacing w:line="360" w:lineRule="auto"/>
        <w:ind w:left="425" w:leftChars="0"/>
        <w:rPr>
          <w:rFonts w:hint="eastAsia" w:ascii="宋体" w:hAnsi="宋体" w:eastAsia="宋体" w:cs="Times New Roman"/>
          <w:b/>
          <w:bCs/>
          <w:sz w:val="24"/>
          <w:szCs w:val="28"/>
          <w:lang w:val="en-US" w:eastAsia="zh-CN"/>
        </w:rPr>
      </w:pPr>
      <w:r>
        <w:rPr>
          <w:rFonts w:hint="eastAsia" w:ascii="宋体" w:hAnsi="宋体" w:eastAsia="宋体" w:cs="Times New Roman"/>
          <w:b/>
          <w:bCs/>
          <w:sz w:val="24"/>
          <w:szCs w:val="28"/>
          <w:lang w:val="en-US" w:eastAsia="zh-CN"/>
        </w:rPr>
        <w:t>★７、本项目的采购预算为人民币</w:t>
      </w:r>
      <w:r>
        <w:rPr>
          <w:rFonts w:hint="eastAsia" w:ascii="宋体" w:hAnsi="宋体" w:cs="Times New Roman"/>
          <w:b/>
          <w:bCs/>
          <w:sz w:val="24"/>
          <w:szCs w:val="28"/>
          <w:lang w:val="en-US" w:eastAsia="zh-CN"/>
        </w:rPr>
        <w:t>贰拾</w:t>
      </w:r>
      <w:r>
        <w:rPr>
          <w:rFonts w:hint="eastAsia" w:ascii="宋体" w:hAnsi="宋体" w:eastAsia="宋体" w:cs="Times New Roman"/>
          <w:b/>
          <w:bCs/>
          <w:sz w:val="24"/>
          <w:szCs w:val="28"/>
          <w:lang w:val="en-US" w:eastAsia="zh-CN"/>
        </w:rPr>
        <w:t>万</w:t>
      </w:r>
      <w:r>
        <w:rPr>
          <w:rFonts w:hint="eastAsia" w:ascii="宋体" w:hAnsi="宋体" w:cs="Times New Roman"/>
          <w:b/>
          <w:bCs/>
          <w:sz w:val="24"/>
          <w:szCs w:val="28"/>
          <w:lang w:val="en-US" w:eastAsia="zh-CN"/>
        </w:rPr>
        <w:t>捌</w:t>
      </w:r>
      <w:r>
        <w:rPr>
          <w:rFonts w:hint="eastAsia" w:ascii="宋体" w:hAnsi="宋体" w:eastAsia="宋体" w:cs="Times New Roman"/>
          <w:b/>
          <w:bCs/>
          <w:sz w:val="24"/>
          <w:szCs w:val="28"/>
          <w:lang w:val="en-US" w:eastAsia="zh-CN"/>
        </w:rPr>
        <w:t>仟元整（￥</w:t>
      </w:r>
      <w:r>
        <w:rPr>
          <w:rFonts w:hint="eastAsia" w:ascii="宋体" w:hAnsi="宋体" w:cs="Times New Roman"/>
          <w:b/>
          <w:bCs/>
          <w:sz w:val="24"/>
          <w:szCs w:val="28"/>
          <w:lang w:val="en-US" w:eastAsia="zh-CN"/>
        </w:rPr>
        <w:t>208</w:t>
      </w:r>
      <w:r>
        <w:rPr>
          <w:rFonts w:hint="eastAsia" w:ascii="宋体" w:hAnsi="宋体" w:eastAsia="宋体" w:cs="Times New Roman"/>
          <w:b/>
          <w:bCs/>
          <w:sz w:val="24"/>
          <w:szCs w:val="28"/>
          <w:lang w:val="en-US" w:eastAsia="zh-CN"/>
        </w:rPr>
        <w:t>,</w:t>
      </w:r>
      <w:r>
        <w:rPr>
          <w:rFonts w:hint="eastAsia" w:ascii="宋体" w:hAnsi="宋体" w:cs="Times New Roman"/>
          <w:b/>
          <w:bCs/>
          <w:sz w:val="24"/>
          <w:szCs w:val="28"/>
          <w:lang w:val="en-US" w:eastAsia="zh-CN"/>
        </w:rPr>
        <w:t>0</w:t>
      </w:r>
      <w:r>
        <w:rPr>
          <w:rFonts w:hint="eastAsia" w:ascii="宋体" w:hAnsi="宋体" w:eastAsia="宋体" w:cs="Times New Roman"/>
          <w:b/>
          <w:bCs/>
          <w:sz w:val="24"/>
          <w:szCs w:val="28"/>
          <w:lang w:val="en-US" w:eastAsia="zh-CN"/>
        </w:rPr>
        <w:t>00.00），采购预算为供应商</w:t>
      </w:r>
      <w:bookmarkStart w:id="24" w:name="OLE_LINK3"/>
      <w:r>
        <w:rPr>
          <w:rFonts w:hint="eastAsia" w:ascii="宋体" w:hAnsi="宋体" w:eastAsia="宋体" w:cs="Times New Roman"/>
          <w:b/>
          <w:bCs/>
          <w:sz w:val="24"/>
          <w:szCs w:val="28"/>
          <w:lang w:val="en-US" w:eastAsia="zh-CN"/>
        </w:rPr>
        <w:t>任一轮</w:t>
      </w:r>
      <w:bookmarkEnd w:id="24"/>
      <w:r>
        <w:rPr>
          <w:rFonts w:hint="eastAsia" w:ascii="宋体" w:hAnsi="宋体" w:eastAsia="宋体" w:cs="Times New Roman"/>
          <w:b/>
          <w:bCs/>
          <w:sz w:val="24"/>
          <w:szCs w:val="28"/>
          <w:lang w:val="en-US" w:eastAsia="zh-CN"/>
        </w:rPr>
        <w:t>报价（包括但不限于响应文件中的报价以及供应商提交的最后报价）的最高限价，供应商任一轮报价超过采购预算的，其响应文件将被否决。</w:t>
      </w:r>
    </w:p>
    <w:p>
      <w:pPr>
        <w:pStyle w:val="3"/>
        <w:spacing w:before="240" w:after="240"/>
        <w:jc w:val="left"/>
        <w:rPr>
          <w:rFonts w:hint="eastAsia" w:ascii="宋体" w:hAnsi="宋体" w:eastAsia="宋体" w:cs="Times New Roman"/>
          <w:b/>
          <w:bCs/>
          <w:kern w:val="0"/>
          <w:lang w:eastAsia="zh-CN"/>
        </w:rPr>
      </w:pPr>
      <w:r>
        <w:rPr>
          <w:rFonts w:hint="eastAsia" w:ascii="宋体" w:hAnsi="宋体" w:eastAsia="宋体" w:cs="Times New Roman"/>
          <w:b/>
          <w:bCs/>
          <w:kern w:val="0"/>
          <w:lang w:eastAsia="zh-CN"/>
        </w:rPr>
        <w:t>六、其他要求</w:t>
      </w:r>
    </w:p>
    <w:p>
      <w:pPr>
        <w:widowControl/>
        <w:spacing w:line="360" w:lineRule="auto"/>
        <w:ind w:firstLine="480" w:firstLineChars="200"/>
        <w:jc w:val="left"/>
        <w:rPr>
          <w:rFonts w:ascii="宋体" w:hAnsi="宋体" w:cs="宋体"/>
          <w:kern w:val="0"/>
          <w:sz w:val="24"/>
        </w:rPr>
      </w:pPr>
      <w:r>
        <w:rPr>
          <w:rFonts w:ascii="宋体" w:hAnsi="宋体" w:cs="宋体"/>
          <w:kern w:val="0"/>
          <w:sz w:val="24"/>
        </w:rPr>
        <w:t>1、除</w:t>
      </w:r>
      <w:r>
        <w:rPr>
          <w:rFonts w:hint="eastAsia" w:ascii="宋体" w:hAnsi="宋体" w:cs="宋体"/>
          <w:kern w:val="0"/>
          <w:sz w:val="24"/>
        </w:rPr>
        <w:t>磋商</w:t>
      </w:r>
      <w:r>
        <w:rPr>
          <w:rFonts w:ascii="宋体" w:hAnsi="宋体" w:cs="宋体"/>
          <w:kern w:val="0"/>
          <w:sz w:val="24"/>
        </w:rPr>
        <w:t>文件另有规定外，若出现有关法律、法规和规章有强制性规定但</w:t>
      </w:r>
      <w:r>
        <w:rPr>
          <w:rFonts w:hint="eastAsia" w:ascii="宋体" w:hAnsi="宋体" w:cs="宋体"/>
          <w:kern w:val="0"/>
          <w:sz w:val="24"/>
        </w:rPr>
        <w:t>磋商</w:t>
      </w:r>
      <w:r>
        <w:rPr>
          <w:rFonts w:ascii="宋体" w:hAnsi="宋体" w:cs="宋体"/>
          <w:kern w:val="0"/>
          <w:sz w:val="24"/>
        </w:rPr>
        <w:t>文件未列明的情形，则</w:t>
      </w:r>
      <w:r>
        <w:rPr>
          <w:rFonts w:hint="eastAsia" w:ascii="宋体" w:hAnsi="宋体" w:cs="宋体"/>
          <w:kern w:val="0"/>
          <w:sz w:val="24"/>
        </w:rPr>
        <w:t>供应商</w:t>
      </w:r>
      <w:r>
        <w:rPr>
          <w:rFonts w:ascii="宋体" w:hAnsi="宋体" w:cs="宋体"/>
          <w:kern w:val="0"/>
          <w:sz w:val="24"/>
        </w:rPr>
        <w:t>应按照有关法律、法规和规章强制性规定执行。</w:t>
      </w:r>
    </w:p>
    <w:p>
      <w:pPr>
        <w:widowControl/>
        <w:spacing w:line="360" w:lineRule="auto"/>
        <w:ind w:firstLine="480" w:firstLineChars="200"/>
        <w:jc w:val="left"/>
        <w:rPr>
          <w:rFonts w:ascii="黑体" w:hAnsi="黑体" w:eastAsia="黑体" w:cs="宋体"/>
          <w:b/>
          <w:kern w:val="0"/>
          <w:sz w:val="24"/>
        </w:rPr>
      </w:pPr>
      <w:r>
        <w:rPr>
          <w:rFonts w:ascii="宋体" w:hAnsi="宋体" w:cs="宋体"/>
          <w:kern w:val="0"/>
          <w:sz w:val="24"/>
        </w:rPr>
        <w:t>2、其他：无</w:t>
      </w:r>
      <w:r>
        <w:rPr>
          <w:rFonts w:hint="eastAsia" w:ascii="宋体" w:hAnsi="宋体" w:cs="宋体"/>
          <w:kern w:val="0"/>
          <w:sz w:val="24"/>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pPr>
        <w:widowControl/>
        <w:jc w:val="left"/>
        <w:rPr>
          <w:rFonts w:ascii="宋体" w:hAnsi="宋体" w:cs="宋体"/>
          <w:color w:val="auto"/>
          <w:kern w:val="0"/>
          <w:sz w:val="24"/>
          <w:highlight w:val="none"/>
        </w:rPr>
      </w:pPr>
    </w:p>
    <w:p>
      <w:pPr>
        <w:widowControl/>
        <w:spacing w:line="360" w:lineRule="auto"/>
        <w:jc w:val="left"/>
        <w:rPr>
          <w:rFonts w:ascii="黑体" w:hAnsi="黑体" w:eastAsia="黑体" w:cs="宋体"/>
          <w:b/>
          <w:color w:val="auto"/>
          <w:kern w:val="0"/>
          <w:sz w:val="24"/>
          <w:highlight w:val="none"/>
        </w:rPr>
      </w:pPr>
    </w:p>
    <w:p>
      <w:pPr>
        <w:widowControl/>
        <w:spacing w:before="55" w:after="55" w:line="360" w:lineRule="auto"/>
        <w:jc w:val="left"/>
        <w:rPr>
          <w:rFonts w:ascii="宋体" w:hAnsi="宋体" w:cs="宋体"/>
          <w:color w:val="auto"/>
          <w:kern w:val="0"/>
          <w:sz w:val="18"/>
          <w:szCs w:val="18"/>
          <w:highlight w:val="none"/>
        </w:rPr>
        <w:sectPr>
          <w:pgSz w:w="11906" w:h="16838"/>
          <w:pgMar w:top="1418" w:right="1418" w:bottom="1418" w:left="1418" w:header="851" w:footer="992" w:gutter="0"/>
          <w:pgNumType w:fmt="decimal"/>
          <w:cols w:space="720" w:num="1"/>
          <w:titlePg/>
          <w:docGrid w:linePitch="312" w:charSpace="0"/>
        </w:sectPr>
      </w:pPr>
    </w:p>
    <w:p>
      <w:pPr>
        <w:pStyle w:val="2"/>
        <w:spacing w:before="240" w:after="240"/>
        <w:rPr>
          <w:rFonts w:ascii="宋体" w:hAnsi="宋体"/>
          <w:color w:val="auto"/>
          <w:sz w:val="24"/>
          <w:highlight w:val="none"/>
        </w:rPr>
      </w:pPr>
      <w:bookmarkStart w:id="25" w:name="_Toc77513653"/>
      <w:r>
        <w:rPr>
          <w:color w:val="auto"/>
          <w:highlight w:val="none"/>
        </w:rPr>
        <w:t>第</w:t>
      </w:r>
      <w:r>
        <w:rPr>
          <w:rFonts w:hint="eastAsia"/>
          <w:color w:val="auto"/>
          <w:highlight w:val="none"/>
        </w:rPr>
        <w:t>四</w:t>
      </w:r>
      <w:r>
        <w:rPr>
          <w:color w:val="auto"/>
          <w:highlight w:val="none"/>
        </w:rPr>
        <w:t>章</w:t>
      </w:r>
      <w:r>
        <w:rPr>
          <w:rFonts w:hint="eastAsia"/>
          <w:color w:val="auto"/>
          <w:highlight w:val="none"/>
        </w:rPr>
        <w:t xml:space="preserve">  合同主要条款及格式</w:t>
      </w:r>
      <w:bookmarkEnd w:id="25"/>
    </w:p>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编制说明</w:t>
      </w:r>
    </w:p>
    <w:p>
      <w:pPr>
        <w:widowControl/>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1、</w:t>
      </w:r>
      <w:bookmarkStart w:id="26" w:name="OLE_LINK2"/>
      <w:bookmarkStart w:id="27" w:name="OLE_LINK1"/>
      <w:r>
        <w:rPr>
          <w:rFonts w:cs="宋体" w:asciiTheme="minorEastAsia" w:hAnsiTheme="minorEastAsia" w:eastAsiaTheme="minorEastAsia"/>
          <w:b/>
          <w:bCs/>
          <w:color w:val="auto"/>
          <w:kern w:val="0"/>
          <w:sz w:val="24"/>
          <w:highlight w:val="none"/>
        </w:rPr>
        <w:t>签订合同应遵守</w:t>
      </w:r>
      <w:r>
        <w:rPr>
          <w:rFonts w:hint="eastAsia" w:cs="宋体" w:asciiTheme="minorEastAsia" w:hAnsiTheme="minorEastAsia" w:eastAsiaTheme="minorEastAsia"/>
          <w:b/>
          <w:bCs/>
          <w:color w:val="auto"/>
          <w:kern w:val="0"/>
          <w:sz w:val="24"/>
          <w:highlight w:val="none"/>
        </w:rPr>
        <w:t>民法典</w:t>
      </w:r>
      <w:bookmarkEnd w:id="26"/>
      <w:bookmarkEnd w:id="27"/>
      <w:r>
        <w:rPr>
          <w:rFonts w:hint="eastAsia" w:cs="宋体" w:asciiTheme="minorEastAsia" w:hAnsiTheme="minorEastAsia" w:eastAsiaTheme="minorEastAsia"/>
          <w:b/>
          <w:bCs/>
          <w:color w:val="auto"/>
          <w:kern w:val="0"/>
          <w:sz w:val="24"/>
          <w:highlight w:val="none"/>
        </w:rPr>
        <w:t>相关规定</w:t>
      </w:r>
      <w:r>
        <w:rPr>
          <w:rFonts w:cs="宋体" w:asciiTheme="minorEastAsia" w:hAnsiTheme="minorEastAsia" w:eastAsiaTheme="minorEastAsia"/>
          <w:b/>
          <w:bCs/>
          <w:color w:val="auto"/>
          <w:kern w:val="0"/>
          <w:sz w:val="24"/>
          <w:highlight w:val="none"/>
        </w:rPr>
        <w:t>。</w:t>
      </w:r>
    </w:p>
    <w:p>
      <w:pPr>
        <w:widowControl/>
        <w:spacing w:line="360" w:lineRule="auto"/>
        <w:ind w:firstLine="481" w:firstLineChars="200"/>
        <w:jc w:val="left"/>
        <w:rPr>
          <w:rFonts w:cs="宋体" w:asciiTheme="minorEastAsia" w:hAnsiTheme="minorEastAsia" w:eastAsiaTheme="minorEastAsia"/>
          <w:b/>
          <w:bCs/>
          <w:color w:val="auto"/>
          <w:kern w:val="0"/>
          <w:sz w:val="24"/>
          <w:highlight w:val="none"/>
        </w:rPr>
      </w:pPr>
      <w:r>
        <w:rPr>
          <w:rFonts w:cs="宋体" w:asciiTheme="minorEastAsia" w:hAnsiTheme="minorEastAsia" w:eastAsiaTheme="minorEastAsia"/>
          <w:b/>
          <w:bCs/>
          <w:color w:val="auto"/>
          <w:kern w:val="0"/>
          <w:sz w:val="24"/>
          <w:highlight w:val="none"/>
        </w:rPr>
        <w:t>2、国家有关部门对合同有规范文本的，可使用相应合同文本。</w:t>
      </w:r>
    </w:p>
    <w:p>
      <w:pPr>
        <w:widowControl/>
        <w:spacing w:line="360" w:lineRule="auto"/>
        <w:ind w:firstLine="481"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b/>
          <w:bCs/>
          <w:color w:val="auto"/>
          <w:kern w:val="0"/>
          <w:sz w:val="24"/>
          <w:highlight w:val="none"/>
        </w:rPr>
        <w:t>3、本章节所附的合同主要条款及格式为参考文本，如果因为项目实际特点不能适用，则可由甲乙双方在合同签订阶段可通过友好协商进行约定。</w:t>
      </w:r>
    </w:p>
    <w:p>
      <w:pPr>
        <w:widowControl/>
        <w:spacing w:line="360" w:lineRule="auto"/>
        <w:jc w:val="left"/>
        <w:rPr>
          <w:rFonts w:cs="宋体" w:asciiTheme="minorEastAsia" w:hAnsiTheme="minorEastAsia" w:eastAsiaTheme="minorEastAsia"/>
          <w:color w:val="auto"/>
          <w:kern w:val="0"/>
          <w:sz w:val="24"/>
          <w:highlight w:val="none"/>
        </w:rPr>
      </w:pP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甲方：</w:t>
      </w:r>
      <w:r>
        <w:rPr>
          <w:rFonts w:cs="宋体" w:asciiTheme="minorEastAsia" w:hAnsiTheme="minorEastAsia" w:eastAsiaTheme="minorEastAsia"/>
          <w:color w:val="auto"/>
          <w:kern w:val="0"/>
          <w:sz w:val="24"/>
          <w:highlight w:val="none"/>
          <w:u w:val="single"/>
        </w:rPr>
        <w:t>（采购人全称）</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乙方：</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成交供应商</w:t>
      </w:r>
      <w:r>
        <w:rPr>
          <w:rFonts w:cs="宋体" w:asciiTheme="minorEastAsia" w:hAnsiTheme="minorEastAsia" w:eastAsiaTheme="minorEastAsia"/>
          <w:color w:val="auto"/>
          <w:kern w:val="0"/>
          <w:sz w:val="24"/>
          <w:highlight w:val="none"/>
          <w:u w:val="single"/>
        </w:rPr>
        <w:t>全称）</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根据</w:t>
      </w:r>
      <w:r>
        <w:rPr>
          <w:rFonts w:hint="eastAsia" w:cs="宋体" w:asciiTheme="minorEastAsia" w:hAnsiTheme="minorEastAsia" w:eastAsiaTheme="minorEastAsia"/>
          <w:color w:val="auto"/>
          <w:kern w:val="0"/>
          <w:sz w:val="24"/>
          <w:highlight w:val="none"/>
        </w:rPr>
        <w:t>项目</w:t>
      </w:r>
      <w:r>
        <w:rPr>
          <w:rFonts w:cs="宋体" w:asciiTheme="minorEastAsia" w:hAnsiTheme="minorEastAsia" w:eastAsiaTheme="minorEastAsia"/>
          <w:color w:val="auto"/>
          <w:kern w:val="0"/>
          <w:sz w:val="24"/>
          <w:highlight w:val="none"/>
        </w:rPr>
        <w:t>编号为</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的</w:t>
      </w:r>
      <w:r>
        <w:rPr>
          <w:rFonts w:cs="宋体" w:asciiTheme="minorEastAsia" w:hAnsiTheme="minorEastAsia" w:eastAsiaTheme="minorEastAsia"/>
          <w:color w:val="auto"/>
          <w:kern w:val="0"/>
          <w:sz w:val="24"/>
          <w:highlight w:val="none"/>
          <w:u w:val="single"/>
        </w:rPr>
        <w:t>（填写“项目名称”）</w:t>
      </w:r>
      <w:r>
        <w:rPr>
          <w:rFonts w:cs="宋体" w:asciiTheme="minorEastAsia" w:hAnsiTheme="minorEastAsia" w:eastAsiaTheme="minorEastAsia"/>
          <w:color w:val="auto"/>
          <w:kern w:val="0"/>
          <w:sz w:val="24"/>
          <w:highlight w:val="none"/>
        </w:rPr>
        <w:t>项目（以下简称：“本项目”）的</w:t>
      </w:r>
      <w:r>
        <w:rPr>
          <w:rFonts w:hint="eastAsia" w:cs="宋体" w:asciiTheme="minorEastAsia" w:hAnsiTheme="minorEastAsia" w:eastAsiaTheme="minorEastAsia"/>
          <w:color w:val="auto"/>
          <w:kern w:val="0"/>
          <w:sz w:val="24"/>
          <w:highlight w:val="none"/>
        </w:rPr>
        <w:t>磋商</w:t>
      </w:r>
      <w:r>
        <w:rPr>
          <w:rFonts w:cs="宋体" w:asciiTheme="minorEastAsia" w:hAnsiTheme="minorEastAsia" w:eastAsiaTheme="minorEastAsia"/>
          <w:color w:val="auto"/>
          <w:kern w:val="0"/>
          <w:sz w:val="24"/>
          <w:highlight w:val="none"/>
        </w:rPr>
        <w:t>结果，乙方为</w:t>
      </w:r>
      <w:r>
        <w:rPr>
          <w:rFonts w:hint="eastAsia" w:cs="宋体" w:asciiTheme="minorEastAsia" w:hAnsiTheme="minorEastAsia" w:eastAsiaTheme="minorEastAsia"/>
          <w:color w:val="auto"/>
          <w:kern w:val="0"/>
          <w:sz w:val="24"/>
          <w:highlight w:val="none"/>
        </w:rPr>
        <w:t>成交供应商</w:t>
      </w:r>
      <w:r>
        <w:rPr>
          <w:rFonts w:cs="宋体" w:asciiTheme="minorEastAsia" w:hAnsiTheme="minorEastAsia" w:eastAsiaTheme="minorEastAsia"/>
          <w:color w:val="auto"/>
          <w:kern w:val="0"/>
          <w:sz w:val="24"/>
          <w:highlight w:val="none"/>
        </w:rPr>
        <w:t>。现经甲乙双方友好协商，就以下事项达成一致并签订本合同：</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1、下列合同文件是构成本合同不可分割的部分：</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1.1合同条款；</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1.2</w:t>
      </w:r>
      <w:r>
        <w:rPr>
          <w:rFonts w:hint="eastAsia" w:cs="宋体" w:asciiTheme="minorEastAsia" w:hAnsiTheme="minorEastAsia" w:eastAsiaTheme="minorEastAsia"/>
          <w:color w:val="auto"/>
          <w:kern w:val="0"/>
          <w:sz w:val="24"/>
          <w:highlight w:val="none"/>
        </w:rPr>
        <w:t>磋商</w:t>
      </w:r>
      <w:r>
        <w:rPr>
          <w:rFonts w:cs="宋体" w:asciiTheme="minorEastAsia" w:hAnsiTheme="minorEastAsia" w:eastAsiaTheme="minorEastAsia"/>
          <w:color w:val="auto"/>
          <w:kern w:val="0"/>
          <w:sz w:val="24"/>
          <w:highlight w:val="none"/>
        </w:rPr>
        <w:t>文件、乙方的</w:t>
      </w:r>
      <w:r>
        <w:rPr>
          <w:rFonts w:hint="eastAsia" w:cs="宋体" w:asciiTheme="minorEastAsia" w:hAnsiTheme="minorEastAsia" w:eastAsiaTheme="minorEastAsia"/>
          <w:color w:val="auto"/>
          <w:kern w:val="0"/>
          <w:sz w:val="24"/>
          <w:highlight w:val="none"/>
        </w:rPr>
        <w:t>响应</w:t>
      </w:r>
      <w:r>
        <w:rPr>
          <w:rFonts w:cs="宋体" w:asciiTheme="minorEastAsia" w:hAnsiTheme="minorEastAsia" w:eastAsiaTheme="minorEastAsia"/>
          <w:color w:val="auto"/>
          <w:kern w:val="0"/>
          <w:sz w:val="24"/>
          <w:highlight w:val="none"/>
        </w:rPr>
        <w:t>文件；</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1.3其他文件或材料：□无。□</w:t>
      </w:r>
      <w:r>
        <w:rPr>
          <w:rFonts w:cs="宋体" w:asciiTheme="minorEastAsia" w:hAnsiTheme="minorEastAsia" w:eastAsiaTheme="minorEastAsia"/>
          <w:color w:val="auto"/>
          <w:kern w:val="0"/>
          <w:sz w:val="24"/>
          <w:highlight w:val="none"/>
          <w:u w:val="single"/>
        </w:rPr>
        <w:t>（按照实际情况编制填写需要增加的内容）</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2、合同标的</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u w:val="single"/>
        </w:rPr>
        <w:t>（按照实际情况编制填写，可以是表格或文字描述）</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3、合同总金额</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3.1合同总金额为人民币大写：</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元（￥</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4、合同标的</w:t>
      </w:r>
      <w:r>
        <w:rPr>
          <w:rFonts w:hint="eastAsia" w:cs="宋体" w:asciiTheme="minorEastAsia" w:hAnsiTheme="minorEastAsia" w:eastAsiaTheme="minorEastAsia"/>
          <w:color w:val="auto"/>
          <w:kern w:val="0"/>
          <w:sz w:val="24"/>
          <w:highlight w:val="none"/>
        </w:rPr>
        <w:t>施工</w:t>
      </w:r>
      <w:r>
        <w:rPr>
          <w:rFonts w:cs="宋体" w:asciiTheme="minorEastAsia" w:hAnsiTheme="minorEastAsia" w:eastAsiaTheme="minorEastAsia"/>
          <w:color w:val="auto"/>
          <w:kern w:val="0"/>
          <w:sz w:val="24"/>
          <w:highlight w:val="none"/>
        </w:rPr>
        <w:t>时间、地点和</w:t>
      </w:r>
      <w:r>
        <w:rPr>
          <w:rFonts w:hint="eastAsia" w:cs="宋体" w:asciiTheme="minorEastAsia" w:hAnsiTheme="minorEastAsia" w:eastAsiaTheme="minorEastAsia"/>
          <w:color w:val="auto"/>
          <w:kern w:val="0"/>
          <w:sz w:val="24"/>
          <w:highlight w:val="none"/>
        </w:rPr>
        <w:t>人员</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4.1</w:t>
      </w:r>
      <w:r>
        <w:rPr>
          <w:rFonts w:hint="eastAsia" w:cs="宋体" w:asciiTheme="minorEastAsia" w:hAnsiTheme="minorEastAsia" w:eastAsiaTheme="minorEastAsia"/>
          <w:color w:val="auto"/>
          <w:kern w:val="0"/>
          <w:sz w:val="24"/>
          <w:highlight w:val="none"/>
        </w:rPr>
        <w:t>施工</w:t>
      </w:r>
      <w:r>
        <w:rPr>
          <w:rFonts w:cs="宋体" w:asciiTheme="minorEastAsia" w:hAnsiTheme="minorEastAsia" w:eastAsiaTheme="minorEastAsia"/>
          <w:color w:val="auto"/>
          <w:kern w:val="0"/>
          <w:sz w:val="24"/>
          <w:highlight w:val="none"/>
        </w:rPr>
        <w:t>时间：</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4.2</w:t>
      </w:r>
      <w:r>
        <w:rPr>
          <w:rFonts w:hint="eastAsia" w:cs="宋体" w:asciiTheme="minorEastAsia" w:hAnsiTheme="minorEastAsia" w:eastAsiaTheme="minorEastAsia"/>
          <w:color w:val="auto"/>
          <w:kern w:val="0"/>
          <w:sz w:val="24"/>
          <w:highlight w:val="none"/>
        </w:rPr>
        <w:t>施工</w:t>
      </w:r>
      <w:r>
        <w:rPr>
          <w:rFonts w:cs="宋体" w:asciiTheme="minorEastAsia" w:hAnsiTheme="minorEastAsia" w:eastAsiaTheme="minorEastAsia"/>
          <w:color w:val="auto"/>
          <w:kern w:val="0"/>
          <w:sz w:val="24"/>
          <w:highlight w:val="none"/>
        </w:rPr>
        <w:t>地点：</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4.3</w:t>
      </w:r>
      <w:r>
        <w:rPr>
          <w:rFonts w:hint="eastAsia" w:cs="宋体" w:asciiTheme="minorEastAsia" w:hAnsiTheme="minorEastAsia" w:eastAsiaTheme="minorEastAsia"/>
          <w:color w:val="auto"/>
          <w:kern w:val="0"/>
          <w:sz w:val="24"/>
          <w:highlight w:val="none"/>
        </w:rPr>
        <w:t>施工</w:t>
      </w:r>
      <w:r>
        <w:rPr>
          <w:rFonts w:cs="宋体" w:asciiTheme="minorEastAsia" w:hAnsiTheme="minorEastAsia" w:eastAsiaTheme="minorEastAsia"/>
          <w:color w:val="auto"/>
          <w:kern w:val="0"/>
          <w:sz w:val="24"/>
          <w:highlight w:val="none"/>
        </w:rPr>
        <w:t>人员：</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5、合同标的应符合</w:t>
      </w:r>
      <w:r>
        <w:rPr>
          <w:rFonts w:hint="eastAsia" w:cs="宋体" w:asciiTheme="minorEastAsia" w:hAnsiTheme="minorEastAsia" w:eastAsiaTheme="minorEastAsia"/>
          <w:color w:val="auto"/>
          <w:kern w:val="0"/>
          <w:sz w:val="24"/>
          <w:highlight w:val="none"/>
        </w:rPr>
        <w:t>磋商</w:t>
      </w:r>
      <w:r>
        <w:rPr>
          <w:rFonts w:cs="宋体" w:asciiTheme="minorEastAsia" w:hAnsiTheme="minorEastAsia" w:eastAsiaTheme="minorEastAsia"/>
          <w:color w:val="auto"/>
          <w:kern w:val="0"/>
          <w:sz w:val="24"/>
          <w:highlight w:val="none"/>
        </w:rPr>
        <w:t>文件、乙方</w:t>
      </w:r>
      <w:r>
        <w:rPr>
          <w:rFonts w:hint="eastAsia" w:cs="宋体" w:asciiTheme="minorEastAsia" w:hAnsiTheme="minorEastAsia" w:eastAsiaTheme="minorEastAsia"/>
          <w:color w:val="auto"/>
          <w:kern w:val="0"/>
          <w:sz w:val="24"/>
          <w:highlight w:val="none"/>
        </w:rPr>
        <w:t>响应</w:t>
      </w:r>
      <w:r>
        <w:rPr>
          <w:rFonts w:cs="宋体" w:asciiTheme="minorEastAsia" w:hAnsiTheme="minorEastAsia" w:eastAsiaTheme="minorEastAsia"/>
          <w:color w:val="auto"/>
          <w:kern w:val="0"/>
          <w:sz w:val="24"/>
          <w:highlight w:val="none"/>
        </w:rPr>
        <w:t>文件的规定或约定，具体如下：</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u w:val="single"/>
        </w:rPr>
        <w:t>（按照实际情况编制填写，可以是表格或文字描述）</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6、验收</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6.1验收应按照</w:t>
      </w:r>
      <w:r>
        <w:rPr>
          <w:rFonts w:hint="eastAsia" w:cs="宋体" w:asciiTheme="minorEastAsia" w:hAnsiTheme="minorEastAsia" w:eastAsiaTheme="minorEastAsia"/>
          <w:color w:val="auto"/>
          <w:kern w:val="0"/>
          <w:sz w:val="24"/>
          <w:highlight w:val="none"/>
        </w:rPr>
        <w:t>磋商</w:t>
      </w:r>
      <w:r>
        <w:rPr>
          <w:rFonts w:cs="宋体" w:asciiTheme="minorEastAsia" w:hAnsiTheme="minorEastAsia" w:eastAsiaTheme="minorEastAsia"/>
          <w:color w:val="auto"/>
          <w:kern w:val="0"/>
          <w:sz w:val="24"/>
          <w:highlight w:val="none"/>
        </w:rPr>
        <w:t>文件、乙方</w:t>
      </w:r>
      <w:r>
        <w:rPr>
          <w:rFonts w:hint="eastAsia" w:cs="宋体" w:asciiTheme="minorEastAsia" w:hAnsiTheme="minorEastAsia" w:eastAsiaTheme="minorEastAsia"/>
          <w:color w:val="auto"/>
          <w:kern w:val="0"/>
          <w:sz w:val="24"/>
          <w:highlight w:val="none"/>
        </w:rPr>
        <w:t>响应</w:t>
      </w:r>
      <w:r>
        <w:rPr>
          <w:rFonts w:cs="宋体" w:asciiTheme="minorEastAsia" w:hAnsiTheme="minorEastAsia" w:eastAsiaTheme="minorEastAsia"/>
          <w:color w:val="auto"/>
          <w:kern w:val="0"/>
          <w:sz w:val="24"/>
          <w:highlight w:val="none"/>
        </w:rPr>
        <w:t>文件的规定或约定进行，具体如下：</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u w:val="single"/>
        </w:rPr>
        <w:t>（按照实际情况编制填写，可以是表格或文字描述）</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6.2本项目是否邀请其他</w:t>
      </w:r>
      <w:r>
        <w:rPr>
          <w:rFonts w:hint="eastAsia" w:cs="宋体" w:asciiTheme="minorEastAsia" w:hAnsiTheme="minorEastAsia" w:eastAsiaTheme="minorEastAsia"/>
          <w:color w:val="auto"/>
          <w:kern w:val="0"/>
          <w:sz w:val="24"/>
          <w:highlight w:val="none"/>
        </w:rPr>
        <w:t>供应商</w:t>
      </w:r>
      <w:r>
        <w:rPr>
          <w:rFonts w:cs="宋体" w:asciiTheme="minorEastAsia" w:hAnsiTheme="minorEastAsia" w:eastAsiaTheme="minorEastAsia"/>
          <w:color w:val="auto"/>
          <w:kern w:val="0"/>
          <w:sz w:val="24"/>
          <w:highlight w:val="none"/>
        </w:rPr>
        <w:t>参与验收：</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□不邀请。□邀请，具体如下：</w:t>
      </w:r>
      <w:r>
        <w:rPr>
          <w:rFonts w:cs="宋体" w:asciiTheme="minorEastAsia" w:hAnsiTheme="minorEastAsia" w:eastAsiaTheme="minorEastAsia"/>
          <w:color w:val="auto"/>
          <w:kern w:val="0"/>
          <w:sz w:val="24"/>
          <w:highlight w:val="none"/>
          <w:u w:val="single"/>
        </w:rPr>
        <w:t>（按照</w:t>
      </w:r>
      <w:r>
        <w:rPr>
          <w:rFonts w:hint="eastAsia" w:cs="宋体" w:asciiTheme="minorEastAsia" w:hAnsiTheme="minorEastAsia" w:eastAsiaTheme="minorEastAsia"/>
          <w:color w:val="auto"/>
          <w:kern w:val="0"/>
          <w:sz w:val="24"/>
          <w:highlight w:val="none"/>
          <w:u w:val="single"/>
        </w:rPr>
        <w:t>磋商</w:t>
      </w:r>
      <w:r>
        <w:rPr>
          <w:rFonts w:cs="宋体" w:asciiTheme="minorEastAsia" w:hAnsiTheme="minorEastAsia" w:eastAsiaTheme="minorEastAsia"/>
          <w:color w:val="auto"/>
          <w:kern w:val="0"/>
          <w:sz w:val="24"/>
          <w:highlight w:val="none"/>
          <w:u w:val="single"/>
        </w:rPr>
        <w:t>文件规定填写）</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7、合同款项的支付应按照</w:t>
      </w:r>
      <w:r>
        <w:rPr>
          <w:rFonts w:hint="eastAsia" w:cs="宋体" w:asciiTheme="minorEastAsia" w:hAnsiTheme="minorEastAsia" w:eastAsiaTheme="minorEastAsia"/>
          <w:color w:val="auto"/>
          <w:kern w:val="0"/>
          <w:sz w:val="24"/>
          <w:highlight w:val="none"/>
        </w:rPr>
        <w:t>磋商</w:t>
      </w:r>
      <w:r>
        <w:rPr>
          <w:rFonts w:cs="宋体" w:asciiTheme="minorEastAsia" w:hAnsiTheme="minorEastAsia" w:eastAsiaTheme="minorEastAsia"/>
          <w:color w:val="auto"/>
          <w:kern w:val="0"/>
          <w:sz w:val="24"/>
          <w:highlight w:val="none"/>
        </w:rPr>
        <w:t>文件的规定进行，具体如下：</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u w:val="single"/>
        </w:rPr>
        <w:t>（按照实际情况编制填写，可以是表格或文字描述，包括一次性支付或分期支付等）</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8、履约保证金</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□无。□有，具体如下：</w:t>
      </w:r>
      <w:r>
        <w:rPr>
          <w:rFonts w:cs="宋体" w:asciiTheme="minorEastAsia" w:hAnsiTheme="minorEastAsia" w:eastAsiaTheme="minorEastAsia"/>
          <w:color w:val="auto"/>
          <w:kern w:val="0"/>
          <w:sz w:val="24"/>
          <w:highlight w:val="none"/>
          <w:u w:val="single"/>
        </w:rPr>
        <w:t>（按照</w:t>
      </w:r>
      <w:r>
        <w:rPr>
          <w:rFonts w:hint="eastAsia" w:cs="宋体" w:asciiTheme="minorEastAsia" w:hAnsiTheme="minorEastAsia" w:eastAsiaTheme="minorEastAsia"/>
          <w:color w:val="auto"/>
          <w:kern w:val="0"/>
          <w:sz w:val="24"/>
          <w:highlight w:val="none"/>
          <w:u w:val="single"/>
        </w:rPr>
        <w:t>磋商</w:t>
      </w:r>
      <w:r>
        <w:rPr>
          <w:rFonts w:cs="宋体" w:asciiTheme="minorEastAsia" w:hAnsiTheme="minorEastAsia" w:eastAsiaTheme="minorEastAsia"/>
          <w:color w:val="auto"/>
          <w:kern w:val="0"/>
          <w:sz w:val="24"/>
          <w:highlight w:val="none"/>
          <w:u w:val="single"/>
        </w:rPr>
        <w:t>文件规定填写）</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9、合同有效期</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u w:val="single"/>
        </w:rPr>
        <w:t>（按照实际情况编制填写，可以是表格或文字描述）</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10、违约责任</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u w:val="single"/>
        </w:rPr>
        <w:t>（按照实际情况编制填写，可以是表格或文字描述）</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11、知识产权</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11.2若乙方提供的采购标的不符合国家知识产权法律、法规的规定或被有关主管机关认定为假冒伪劣品，则乙方</w:t>
      </w:r>
      <w:r>
        <w:rPr>
          <w:rFonts w:hint="eastAsia" w:cs="宋体" w:asciiTheme="minorEastAsia" w:hAnsiTheme="minorEastAsia" w:eastAsiaTheme="minorEastAsia"/>
          <w:color w:val="auto"/>
          <w:kern w:val="0"/>
          <w:sz w:val="24"/>
          <w:highlight w:val="none"/>
        </w:rPr>
        <w:t>成交</w:t>
      </w:r>
      <w:r>
        <w:rPr>
          <w:rFonts w:cs="宋体" w:asciiTheme="minorEastAsia" w:hAnsiTheme="minorEastAsia" w:eastAsiaTheme="minorEastAsia"/>
          <w:color w:val="auto"/>
          <w:kern w:val="0"/>
          <w:sz w:val="24"/>
          <w:highlight w:val="none"/>
        </w:rPr>
        <w:t>资格将被取消；甲方还将按照有关法律、法规和规章的规定进行处理，具体如下：</w:t>
      </w:r>
      <w:r>
        <w:rPr>
          <w:rFonts w:cs="宋体" w:asciiTheme="minorEastAsia" w:hAnsiTheme="minorEastAsia" w:eastAsiaTheme="minorEastAsia"/>
          <w:color w:val="auto"/>
          <w:kern w:val="0"/>
          <w:sz w:val="24"/>
          <w:highlight w:val="none"/>
          <w:u w:val="single"/>
        </w:rPr>
        <w:t>（按照实际情况编制填写）</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12、解决争议的方法</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12.1甲、乙双方协商解决。</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12.2若协商解决不成，则通过下列途径之一解决：</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□提交仲裁委员会仲裁，具体如下：</w:t>
      </w:r>
      <w:r>
        <w:rPr>
          <w:rFonts w:cs="宋体" w:asciiTheme="minorEastAsia" w:hAnsiTheme="minorEastAsia" w:eastAsiaTheme="minorEastAsia"/>
          <w:color w:val="auto"/>
          <w:kern w:val="0"/>
          <w:sz w:val="24"/>
          <w:highlight w:val="none"/>
          <w:u w:val="single"/>
        </w:rPr>
        <w:t>（按照实际情况编制填写）</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□向人民法院提起诉讼，具体如下：</w:t>
      </w:r>
      <w:r>
        <w:rPr>
          <w:rFonts w:cs="宋体" w:asciiTheme="minorEastAsia" w:hAnsiTheme="minorEastAsia" w:eastAsiaTheme="minorEastAsia"/>
          <w:color w:val="auto"/>
          <w:kern w:val="0"/>
          <w:sz w:val="24"/>
          <w:highlight w:val="none"/>
          <w:u w:val="single"/>
        </w:rPr>
        <w:t>（按照实际情况编制填写）</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13、不可抗力</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13.1因不可抗力造成违约的，遭受不可抗力一方应及时向对方通报不能履行或不能完全履行的理由，并在随后取得有关主管机关证明后的</w:t>
      </w:r>
      <w:r>
        <w:rPr>
          <w:rFonts w:cs="Calibri" w:asciiTheme="minorEastAsia" w:hAnsiTheme="minorEastAsia" w:eastAsiaTheme="minorEastAsia"/>
          <w:color w:val="auto"/>
          <w:kern w:val="0"/>
          <w:sz w:val="24"/>
          <w:highlight w:val="none"/>
        </w:rPr>
        <w:t>15</w:t>
      </w:r>
      <w:r>
        <w:rPr>
          <w:rFonts w:cs="宋体" w:asciiTheme="minorEastAsia" w:hAnsiTheme="minorEastAsia" w:eastAsiaTheme="minorEastAsia"/>
          <w:color w:val="auto"/>
          <w:kern w:val="0"/>
          <w:sz w:val="24"/>
          <w:highlight w:val="none"/>
        </w:rPr>
        <w:t>日内向另一方提供不可抗力发生及持续期间的充分证据。基于以上行为，允许遭受不可抗力一方延期履行、部分履行或不履行合同，并根据情况可部分或全部免于承担违约责任。</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14、合同条款</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u w:val="single"/>
        </w:rPr>
        <w:t>（按照实际情况编制填写）</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15、其他约定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15.1合同文件与本合同具有同等法律效力。</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15.2本合同未尽事宜，双方可另行补充。</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15.3合同生效：自签订之日起生效。</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15.4本合同一式</w:t>
      </w:r>
      <w:r>
        <w:rPr>
          <w:rFonts w:cs="宋体" w:asciiTheme="minorEastAsia" w:hAnsiTheme="minorEastAsia" w:eastAsiaTheme="minorEastAsia"/>
          <w:color w:val="auto"/>
          <w:kern w:val="0"/>
          <w:sz w:val="24"/>
          <w:highlight w:val="none"/>
          <w:u w:val="single"/>
        </w:rPr>
        <w:t>（填写具体份数）</w:t>
      </w:r>
      <w:r>
        <w:rPr>
          <w:rFonts w:cs="宋体" w:asciiTheme="minorEastAsia" w:hAnsiTheme="minorEastAsia" w:eastAsiaTheme="minorEastAsia"/>
          <w:color w:val="auto"/>
          <w:kern w:val="0"/>
          <w:sz w:val="24"/>
          <w:highlight w:val="none"/>
        </w:rPr>
        <w:t>份，经双方授权代表签字并盖章后生效。甲方、乙方各执</w:t>
      </w:r>
      <w:r>
        <w:rPr>
          <w:rFonts w:cs="宋体" w:asciiTheme="minorEastAsia" w:hAnsiTheme="minorEastAsia" w:eastAsiaTheme="minorEastAsia"/>
          <w:color w:val="auto"/>
          <w:kern w:val="0"/>
          <w:sz w:val="24"/>
          <w:highlight w:val="none"/>
          <w:u w:val="single"/>
        </w:rPr>
        <w:t>（填写具体份数）</w:t>
      </w:r>
      <w:r>
        <w:rPr>
          <w:rFonts w:cs="宋体" w:asciiTheme="minorEastAsia" w:hAnsiTheme="minorEastAsia" w:eastAsiaTheme="minorEastAsia"/>
          <w:color w:val="auto"/>
          <w:kern w:val="0"/>
          <w:sz w:val="24"/>
          <w:highlight w:val="none"/>
        </w:rPr>
        <w:t>份</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具有同等效力。</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15.5其他：□无。□</w:t>
      </w:r>
      <w:r>
        <w:rPr>
          <w:rFonts w:cs="宋体" w:asciiTheme="minorEastAsia" w:hAnsiTheme="minorEastAsia" w:eastAsiaTheme="minorEastAsia"/>
          <w:color w:val="auto"/>
          <w:kern w:val="0"/>
          <w:sz w:val="24"/>
          <w:highlight w:val="none"/>
          <w:u w:val="single"/>
        </w:rPr>
        <w:t>（按照实际情况编制填写需要增加的内容）</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（以下无正文）</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甲方：                 乙方：</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住所：                 住所：</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单位负责人：              单位负责人：</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委托代理人：              委托代理人：</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联系方法：               联系方法：</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开户银行：               开户银行：</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账号：                 账号：</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签订地点：</w:t>
      </w:r>
      <w:r>
        <w:rPr>
          <w:rFonts w:cs="宋体" w:asciiTheme="minorEastAsia" w:hAnsiTheme="minorEastAsia" w:eastAsiaTheme="minorEastAsia"/>
          <w:color w:val="auto"/>
          <w:kern w:val="0"/>
          <w:sz w:val="24"/>
          <w:highlight w:val="none"/>
          <w:u w:val="singl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签订日期：</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日</w:t>
      </w:r>
    </w:p>
    <w:p>
      <w:pPr>
        <w:rPr>
          <w:color w:val="auto"/>
          <w:highlight w:val="none"/>
        </w:rPr>
        <w:sectPr>
          <w:pgSz w:w="11906" w:h="16838"/>
          <w:pgMar w:top="1418" w:right="1418" w:bottom="1418" w:left="1418" w:header="851" w:footer="992" w:gutter="0"/>
          <w:pgNumType w:fmt="decimal"/>
          <w:cols w:space="720" w:num="1"/>
          <w:titlePg/>
          <w:docGrid w:linePitch="312" w:charSpace="0"/>
        </w:sectPr>
      </w:pPr>
    </w:p>
    <w:p>
      <w:pPr>
        <w:pStyle w:val="2"/>
        <w:spacing w:before="240" w:after="240"/>
        <w:rPr>
          <w:rFonts w:ascii="宋体" w:hAnsi="宋体"/>
          <w:color w:val="auto"/>
          <w:sz w:val="24"/>
          <w:highlight w:val="none"/>
        </w:rPr>
      </w:pPr>
      <w:bookmarkStart w:id="28" w:name="_Toc77513654"/>
      <w:r>
        <w:rPr>
          <w:color w:val="auto"/>
          <w:highlight w:val="none"/>
        </w:rPr>
        <w:t>第</w:t>
      </w:r>
      <w:r>
        <w:rPr>
          <w:rFonts w:hint="eastAsia"/>
          <w:color w:val="auto"/>
          <w:highlight w:val="none"/>
        </w:rPr>
        <w:t>五</w:t>
      </w:r>
      <w:r>
        <w:rPr>
          <w:color w:val="auto"/>
          <w:highlight w:val="none"/>
        </w:rPr>
        <w:t>章</w:t>
      </w:r>
      <w:r>
        <w:rPr>
          <w:rFonts w:hint="eastAsia"/>
          <w:color w:val="auto"/>
          <w:highlight w:val="none"/>
        </w:rPr>
        <w:t xml:space="preserve">  首次</w:t>
      </w:r>
      <w:r>
        <w:rPr>
          <w:color w:val="auto"/>
          <w:highlight w:val="none"/>
        </w:rPr>
        <w:t>响应文件格式</w:t>
      </w:r>
      <w:bookmarkEnd w:id="28"/>
    </w:p>
    <w:p>
      <w:pPr>
        <w:widowControl/>
        <w:spacing w:before="100" w:beforeAutospacing="1" w:after="100" w:afterAutospacing="1" w:line="360" w:lineRule="auto"/>
        <w:jc w:val="center"/>
        <w:rPr>
          <w:rFonts w:ascii="黑体" w:hAnsi="黑体" w:eastAsia="黑体" w:cs="宋体"/>
          <w:b/>
          <w:bCs/>
          <w:color w:val="auto"/>
          <w:kern w:val="0"/>
          <w:sz w:val="28"/>
          <w:szCs w:val="18"/>
          <w:highlight w:val="none"/>
        </w:rPr>
      </w:pPr>
      <w:r>
        <w:rPr>
          <w:rFonts w:ascii="黑体" w:hAnsi="黑体" w:eastAsia="黑体" w:cs="宋体"/>
          <w:b/>
          <w:bCs/>
          <w:color w:val="auto"/>
          <w:kern w:val="0"/>
          <w:sz w:val="28"/>
          <w:szCs w:val="18"/>
          <w:highlight w:val="none"/>
        </w:rPr>
        <w:t>封面格式</w:t>
      </w:r>
    </w:p>
    <w:p>
      <w:pPr>
        <w:widowControl/>
        <w:spacing w:line="360" w:lineRule="auto"/>
        <w:jc w:val="center"/>
        <w:rPr>
          <w:rFonts w:cs="宋体" w:asciiTheme="minorEastAsia" w:hAnsiTheme="minorEastAsia" w:eastAsiaTheme="minorEastAsia"/>
          <w:b/>
          <w:bCs/>
          <w:color w:val="auto"/>
          <w:kern w:val="0"/>
          <w:sz w:val="32"/>
          <w:szCs w:val="28"/>
          <w:highlight w:val="none"/>
        </w:rPr>
      </w:pPr>
    </w:p>
    <w:p>
      <w:pPr>
        <w:widowControl/>
        <w:spacing w:line="360" w:lineRule="auto"/>
        <w:jc w:val="center"/>
        <w:rPr>
          <w:rFonts w:cs="宋体" w:asciiTheme="minorEastAsia" w:hAnsiTheme="minorEastAsia" w:eastAsiaTheme="minorEastAsia"/>
          <w:color w:val="auto"/>
          <w:kern w:val="0"/>
          <w:sz w:val="32"/>
          <w:szCs w:val="28"/>
          <w:highlight w:val="none"/>
        </w:rPr>
      </w:pPr>
      <w:r>
        <w:rPr>
          <w:rFonts w:hint="eastAsia" w:cs="宋体" w:asciiTheme="minorEastAsia" w:hAnsiTheme="minorEastAsia" w:eastAsiaTheme="minorEastAsia"/>
          <w:b/>
          <w:bCs/>
          <w:color w:val="auto"/>
          <w:kern w:val="0"/>
          <w:sz w:val="32"/>
          <w:szCs w:val="28"/>
          <w:highlight w:val="none"/>
        </w:rPr>
        <w:t xml:space="preserve">响  应  </w:t>
      </w:r>
      <w:r>
        <w:rPr>
          <w:rFonts w:cs="宋体" w:asciiTheme="minorEastAsia" w:hAnsiTheme="minorEastAsia" w:eastAsiaTheme="minorEastAsia"/>
          <w:b/>
          <w:bCs/>
          <w:color w:val="auto"/>
          <w:kern w:val="0"/>
          <w:sz w:val="32"/>
          <w:szCs w:val="28"/>
          <w:highlight w:val="none"/>
        </w:rPr>
        <w:t>文</w:t>
      </w:r>
      <w:r>
        <w:rPr>
          <w:rFonts w:hint="eastAsia" w:cs="宋体" w:asciiTheme="minorEastAsia" w:hAnsiTheme="minorEastAsia" w:eastAsiaTheme="minorEastAsia"/>
          <w:b/>
          <w:bCs/>
          <w:color w:val="auto"/>
          <w:kern w:val="0"/>
          <w:sz w:val="32"/>
          <w:szCs w:val="28"/>
          <w:highlight w:val="none"/>
        </w:rPr>
        <w:t xml:space="preserve">  </w:t>
      </w:r>
      <w:r>
        <w:rPr>
          <w:rFonts w:cs="宋体" w:asciiTheme="minorEastAsia" w:hAnsiTheme="minorEastAsia" w:eastAsiaTheme="minorEastAsia"/>
          <w:b/>
          <w:bCs/>
          <w:color w:val="auto"/>
          <w:kern w:val="0"/>
          <w:sz w:val="32"/>
          <w:szCs w:val="28"/>
          <w:highlight w:val="none"/>
        </w:rPr>
        <w:t>件</w:t>
      </w:r>
    </w:p>
    <w:p>
      <w:pPr>
        <w:widowControl/>
        <w:spacing w:line="360" w:lineRule="auto"/>
        <w:jc w:val="center"/>
        <w:rPr>
          <w:rFonts w:cs="宋体" w:asciiTheme="minorEastAsia" w:hAnsiTheme="minorEastAsia" w:eastAsiaTheme="minorEastAsia"/>
          <w:color w:val="auto"/>
          <w:kern w:val="0"/>
          <w:sz w:val="32"/>
          <w:szCs w:val="28"/>
          <w:highlight w:val="none"/>
        </w:rPr>
      </w:pPr>
      <w:r>
        <w:rPr>
          <w:rFonts w:cs="宋体" w:asciiTheme="minorEastAsia" w:hAnsiTheme="minorEastAsia" w:eastAsiaTheme="minorEastAsia"/>
          <w:b/>
          <w:bCs/>
          <w:color w:val="auto"/>
          <w:kern w:val="0"/>
          <w:sz w:val="32"/>
          <w:szCs w:val="28"/>
          <w:highlight w:val="none"/>
        </w:rPr>
        <w:t>（</w:t>
      </w:r>
      <w:r>
        <w:rPr>
          <w:rFonts w:hint="eastAsia" w:cs="宋体" w:asciiTheme="minorEastAsia" w:hAnsiTheme="minorEastAsia" w:eastAsiaTheme="minorEastAsia"/>
          <w:b/>
          <w:bCs/>
          <w:color w:val="auto"/>
          <w:kern w:val="0"/>
          <w:sz w:val="32"/>
          <w:szCs w:val="28"/>
          <w:highlight w:val="none"/>
        </w:rPr>
        <w:t>首次</w:t>
      </w:r>
      <w:r>
        <w:rPr>
          <w:rFonts w:cs="宋体" w:asciiTheme="minorEastAsia" w:hAnsiTheme="minorEastAsia" w:eastAsiaTheme="minorEastAsia"/>
          <w:b/>
          <w:bCs/>
          <w:color w:val="auto"/>
          <w:kern w:val="0"/>
          <w:sz w:val="32"/>
          <w:szCs w:val="28"/>
          <w:highlight w:val="none"/>
        </w:rPr>
        <w:t>）</w:t>
      </w:r>
    </w:p>
    <w:p>
      <w:pPr>
        <w:widowControl/>
        <w:spacing w:line="360" w:lineRule="auto"/>
        <w:jc w:val="center"/>
        <w:rPr>
          <w:rFonts w:cs="宋体" w:asciiTheme="minorEastAsia" w:hAnsiTheme="minorEastAsia" w:eastAsiaTheme="minorEastAsia"/>
          <w:b/>
          <w:bCs/>
          <w:color w:val="auto"/>
          <w:kern w:val="0"/>
          <w:sz w:val="32"/>
          <w:szCs w:val="28"/>
          <w:highlight w:val="none"/>
          <w:u w:val="single"/>
        </w:rPr>
      </w:pPr>
    </w:p>
    <w:p>
      <w:pPr>
        <w:widowControl/>
        <w:spacing w:line="360" w:lineRule="auto"/>
        <w:jc w:val="center"/>
        <w:rPr>
          <w:rFonts w:cs="宋体" w:asciiTheme="minorEastAsia" w:hAnsiTheme="minorEastAsia" w:eastAsiaTheme="minorEastAsia"/>
          <w:color w:val="auto"/>
          <w:kern w:val="0"/>
          <w:sz w:val="32"/>
          <w:szCs w:val="28"/>
          <w:highlight w:val="none"/>
        </w:rPr>
      </w:pPr>
      <w:r>
        <w:rPr>
          <w:rFonts w:cs="宋体" w:asciiTheme="minorEastAsia" w:hAnsiTheme="minorEastAsia" w:eastAsiaTheme="minorEastAsia"/>
          <w:b/>
          <w:bCs/>
          <w:color w:val="auto"/>
          <w:kern w:val="0"/>
          <w:sz w:val="32"/>
          <w:szCs w:val="28"/>
          <w:highlight w:val="none"/>
          <w:u w:val="single"/>
        </w:rPr>
        <w:t>（填写正本或副本）</w:t>
      </w:r>
    </w:p>
    <w:p>
      <w:pPr>
        <w:widowControl/>
        <w:spacing w:line="360" w:lineRule="auto"/>
        <w:jc w:val="center"/>
        <w:rPr>
          <w:rFonts w:cs="宋体" w:asciiTheme="minorEastAsia" w:hAnsiTheme="minorEastAsia" w:eastAsiaTheme="minorEastAsia"/>
          <w:b/>
          <w:bCs/>
          <w:color w:val="auto"/>
          <w:kern w:val="0"/>
          <w:sz w:val="32"/>
          <w:szCs w:val="28"/>
          <w:highlight w:val="none"/>
          <w:u w:val="single"/>
        </w:rPr>
      </w:pPr>
    </w:p>
    <w:p>
      <w:pPr>
        <w:widowControl/>
        <w:spacing w:line="360" w:lineRule="auto"/>
        <w:jc w:val="center"/>
        <w:rPr>
          <w:rFonts w:cs="宋体" w:asciiTheme="minorEastAsia" w:hAnsiTheme="minorEastAsia" w:eastAsiaTheme="minorEastAsia"/>
          <w:b/>
          <w:bCs/>
          <w:color w:val="auto"/>
          <w:kern w:val="0"/>
          <w:sz w:val="32"/>
          <w:szCs w:val="28"/>
          <w:highlight w:val="none"/>
          <w:u w:val="single"/>
        </w:rPr>
      </w:pPr>
    </w:p>
    <w:p>
      <w:pPr>
        <w:widowControl/>
        <w:spacing w:line="360" w:lineRule="auto"/>
        <w:ind w:firstLine="1418"/>
        <w:jc w:val="left"/>
        <w:rPr>
          <w:rFonts w:cs="宋体" w:asciiTheme="minorEastAsia" w:hAnsiTheme="minorEastAsia" w:eastAsiaTheme="minorEastAsia"/>
          <w:color w:val="auto"/>
          <w:kern w:val="0"/>
          <w:sz w:val="28"/>
          <w:szCs w:val="28"/>
          <w:highlight w:val="none"/>
        </w:rPr>
      </w:pPr>
      <w:r>
        <w:rPr>
          <w:rFonts w:cs="宋体" w:asciiTheme="minorEastAsia" w:hAnsiTheme="minorEastAsia" w:eastAsiaTheme="minorEastAsia"/>
          <w:b/>
          <w:bCs/>
          <w:color w:val="auto"/>
          <w:kern w:val="0"/>
          <w:sz w:val="28"/>
          <w:szCs w:val="28"/>
          <w:highlight w:val="none"/>
        </w:rPr>
        <w:t>项目名称：</w:t>
      </w:r>
      <w:r>
        <w:rPr>
          <w:rFonts w:cs="宋体" w:asciiTheme="minorEastAsia" w:hAnsiTheme="minorEastAsia" w:eastAsiaTheme="minorEastAsia"/>
          <w:b/>
          <w:bCs/>
          <w:color w:val="auto"/>
          <w:kern w:val="0"/>
          <w:sz w:val="28"/>
          <w:szCs w:val="28"/>
          <w:highlight w:val="none"/>
          <w:u w:val="single"/>
        </w:rPr>
        <w:t>（由</w:t>
      </w:r>
      <w:r>
        <w:rPr>
          <w:rFonts w:hint="eastAsia" w:cs="宋体" w:asciiTheme="minorEastAsia" w:hAnsiTheme="minorEastAsia" w:eastAsiaTheme="minorEastAsia"/>
          <w:b/>
          <w:bCs/>
          <w:color w:val="auto"/>
          <w:kern w:val="0"/>
          <w:sz w:val="28"/>
          <w:szCs w:val="28"/>
          <w:highlight w:val="none"/>
          <w:u w:val="single"/>
        </w:rPr>
        <w:t>供应商</w:t>
      </w:r>
      <w:r>
        <w:rPr>
          <w:rFonts w:cs="宋体" w:asciiTheme="minorEastAsia" w:hAnsiTheme="minorEastAsia" w:eastAsiaTheme="minorEastAsia"/>
          <w:b/>
          <w:bCs/>
          <w:color w:val="auto"/>
          <w:kern w:val="0"/>
          <w:sz w:val="28"/>
          <w:szCs w:val="28"/>
          <w:highlight w:val="none"/>
          <w:u w:val="single"/>
        </w:rPr>
        <w:t>填写）</w:t>
      </w:r>
    </w:p>
    <w:p>
      <w:pPr>
        <w:widowControl/>
        <w:spacing w:line="360" w:lineRule="auto"/>
        <w:ind w:firstLine="1418"/>
        <w:jc w:val="left"/>
        <w:rPr>
          <w:rFonts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b/>
          <w:bCs/>
          <w:color w:val="auto"/>
          <w:kern w:val="0"/>
          <w:sz w:val="28"/>
          <w:szCs w:val="28"/>
          <w:highlight w:val="none"/>
        </w:rPr>
        <w:t>项目</w:t>
      </w:r>
      <w:r>
        <w:rPr>
          <w:rFonts w:cs="宋体" w:asciiTheme="minorEastAsia" w:hAnsiTheme="minorEastAsia" w:eastAsiaTheme="minorEastAsia"/>
          <w:b/>
          <w:bCs/>
          <w:color w:val="auto"/>
          <w:kern w:val="0"/>
          <w:sz w:val="28"/>
          <w:szCs w:val="28"/>
          <w:highlight w:val="none"/>
        </w:rPr>
        <w:t>编号：</w:t>
      </w:r>
      <w:r>
        <w:rPr>
          <w:rFonts w:cs="宋体" w:asciiTheme="minorEastAsia" w:hAnsiTheme="minorEastAsia" w:eastAsiaTheme="minorEastAsia"/>
          <w:b/>
          <w:bCs/>
          <w:color w:val="auto"/>
          <w:kern w:val="0"/>
          <w:sz w:val="28"/>
          <w:szCs w:val="28"/>
          <w:highlight w:val="none"/>
          <w:u w:val="single"/>
        </w:rPr>
        <w:t>（由</w:t>
      </w:r>
      <w:r>
        <w:rPr>
          <w:rFonts w:hint="eastAsia" w:cs="宋体" w:asciiTheme="minorEastAsia" w:hAnsiTheme="minorEastAsia" w:eastAsiaTheme="minorEastAsia"/>
          <w:b/>
          <w:bCs/>
          <w:color w:val="auto"/>
          <w:kern w:val="0"/>
          <w:sz w:val="28"/>
          <w:szCs w:val="28"/>
          <w:highlight w:val="none"/>
          <w:u w:val="single"/>
        </w:rPr>
        <w:t>供应商</w:t>
      </w:r>
      <w:r>
        <w:rPr>
          <w:rFonts w:cs="宋体" w:asciiTheme="minorEastAsia" w:hAnsiTheme="minorEastAsia" w:eastAsiaTheme="minorEastAsia"/>
          <w:b/>
          <w:bCs/>
          <w:color w:val="auto"/>
          <w:kern w:val="0"/>
          <w:sz w:val="28"/>
          <w:szCs w:val="28"/>
          <w:highlight w:val="none"/>
          <w:u w:val="single"/>
        </w:rPr>
        <w:t>填写）</w:t>
      </w:r>
    </w:p>
    <w:p>
      <w:pPr>
        <w:widowControl/>
        <w:spacing w:line="360" w:lineRule="auto"/>
        <w:ind w:firstLine="1418"/>
        <w:jc w:val="left"/>
        <w:rPr>
          <w:rFonts w:cs="宋体" w:asciiTheme="minorEastAsia" w:hAnsiTheme="minorEastAsia" w:eastAsiaTheme="minorEastAsia"/>
          <w:color w:val="auto"/>
          <w:kern w:val="0"/>
          <w:sz w:val="28"/>
          <w:szCs w:val="28"/>
          <w:highlight w:val="none"/>
        </w:rPr>
      </w:pPr>
      <w:r>
        <w:rPr>
          <w:rFonts w:cs="宋体" w:asciiTheme="minorEastAsia" w:hAnsiTheme="minorEastAsia" w:eastAsiaTheme="minorEastAsia"/>
          <w:b/>
          <w:bCs/>
          <w:color w:val="auto"/>
          <w:kern w:val="0"/>
          <w:sz w:val="28"/>
          <w:szCs w:val="28"/>
          <w:highlight w:val="none"/>
        </w:rPr>
        <w:t>合</w:t>
      </w:r>
      <w:r>
        <w:rPr>
          <w:rFonts w:hint="eastAsia" w:cs="宋体" w:asciiTheme="minorEastAsia" w:hAnsiTheme="minorEastAsia" w:eastAsiaTheme="minorEastAsia"/>
          <w:b/>
          <w:bCs/>
          <w:color w:val="auto"/>
          <w:kern w:val="0"/>
          <w:sz w:val="28"/>
          <w:szCs w:val="28"/>
          <w:highlight w:val="none"/>
        </w:rPr>
        <w:t xml:space="preserve"> </w:t>
      </w:r>
      <w:r>
        <w:rPr>
          <w:rFonts w:cs="宋体" w:asciiTheme="minorEastAsia" w:hAnsiTheme="minorEastAsia" w:eastAsiaTheme="minorEastAsia"/>
          <w:b/>
          <w:bCs/>
          <w:color w:val="auto"/>
          <w:kern w:val="0"/>
          <w:sz w:val="28"/>
          <w:szCs w:val="28"/>
          <w:highlight w:val="none"/>
        </w:rPr>
        <w:t>同</w:t>
      </w:r>
      <w:r>
        <w:rPr>
          <w:rFonts w:hint="eastAsia" w:cs="宋体" w:asciiTheme="minorEastAsia" w:hAnsiTheme="minorEastAsia" w:eastAsiaTheme="minorEastAsia"/>
          <w:b/>
          <w:bCs/>
          <w:color w:val="auto"/>
          <w:kern w:val="0"/>
          <w:sz w:val="28"/>
          <w:szCs w:val="28"/>
          <w:highlight w:val="none"/>
        </w:rPr>
        <w:t xml:space="preserve"> </w:t>
      </w:r>
      <w:r>
        <w:rPr>
          <w:rFonts w:cs="宋体" w:asciiTheme="minorEastAsia" w:hAnsiTheme="minorEastAsia" w:eastAsiaTheme="minorEastAsia"/>
          <w:b/>
          <w:bCs/>
          <w:color w:val="auto"/>
          <w:kern w:val="0"/>
          <w:sz w:val="28"/>
          <w:szCs w:val="28"/>
          <w:highlight w:val="none"/>
        </w:rPr>
        <w:t>包：</w:t>
      </w:r>
      <w:r>
        <w:rPr>
          <w:rFonts w:cs="宋体" w:asciiTheme="minorEastAsia" w:hAnsiTheme="minorEastAsia" w:eastAsiaTheme="minorEastAsia"/>
          <w:b/>
          <w:bCs/>
          <w:color w:val="auto"/>
          <w:kern w:val="0"/>
          <w:sz w:val="28"/>
          <w:szCs w:val="28"/>
          <w:highlight w:val="none"/>
          <w:u w:val="single"/>
        </w:rPr>
        <w:t>（由</w:t>
      </w:r>
      <w:r>
        <w:rPr>
          <w:rFonts w:hint="eastAsia" w:cs="宋体" w:asciiTheme="minorEastAsia" w:hAnsiTheme="minorEastAsia" w:eastAsiaTheme="minorEastAsia"/>
          <w:b/>
          <w:bCs/>
          <w:color w:val="auto"/>
          <w:kern w:val="0"/>
          <w:sz w:val="28"/>
          <w:szCs w:val="28"/>
          <w:highlight w:val="none"/>
          <w:u w:val="single"/>
        </w:rPr>
        <w:t>供应商</w:t>
      </w:r>
      <w:r>
        <w:rPr>
          <w:rFonts w:cs="宋体" w:asciiTheme="minorEastAsia" w:hAnsiTheme="minorEastAsia" w:eastAsiaTheme="minorEastAsia"/>
          <w:b/>
          <w:bCs/>
          <w:color w:val="auto"/>
          <w:kern w:val="0"/>
          <w:sz w:val="28"/>
          <w:szCs w:val="28"/>
          <w:highlight w:val="none"/>
          <w:u w:val="single"/>
        </w:rPr>
        <w:t>填写）</w:t>
      </w:r>
    </w:p>
    <w:p>
      <w:pPr>
        <w:widowControl/>
        <w:spacing w:line="360" w:lineRule="auto"/>
        <w:jc w:val="center"/>
        <w:rPr>
          <w:rFonts w:cs="宋体" w:asciiTheme="minorEastAsia" w:hAnsiTheme="minorEastAsia" w:eastAsiaTheme="minorEastAsia"/>
          <w:b/>
          <w:bCs/>
          <w:color w:val="auto"/>
          <w:kern w:val="0"/>
          <w:sz w:val="32"/>
          <w:szCs w:val="28"/>
          <w:highlight w:val="none"/>
          <w:u w:val="single"/>
        </w:rPr>
      </w:pPr>
    </w:p>
    <w:p>
      <w:pPr>
        <w:widowControl/>
        <w:spacing w:line="360" w:lineRule="auto"/>
        <w:jc w:val="center"/>
        <w:rPr>
          <w:rFonts w:cs="宋体" w:asciiTheme="minorEastAsia" w:hAnsiTheme="minorEastAsia" w:eastAsiaTheme="minorEastAsia"/>
          <w:b/>
          <w:bCs/>
          <w:color w:val="auto"/>
          <w:kern w:val="0"/>
          <w:sz w:val="32"/>
          <w:szCs w:val="28"/>
          <w:highlight w:val="none"/>
          <w:u w:val="single"/>
        </w:rPr>
      </w:pPr>
    </w:p>
    <w:p>
      <w:pPr>
        <w:widowControl/>
        <w:spacing w:line="360" w:lineRule="auto"/>
        <w:jc w:val="center"/>
        <w:rPr>
          <w:rFonts w:cs="宋体" w:asciiTheme="minorEastAsia" w:hAnsiTheme="minorEastAsia" w:eastAsiaTheme="minorEastAsia"/>
          <w:b/>
          <w:bCs/>
          <w:color w:val="auto"/>
          <w:kern w:val="0"/>
          <w:sz w:val="32"/>
          <w:szCs w:val="28"/>
          <w:highlight w:val="none"/>
          <w:u w:val="single"/>
        </w:rPr>
      </w:pPr>
    </w:p>
    <w:p>
      <w:pPr>
        <w:widowControl/>
        <w:spacing w:line="360" w:lineRule="auto"/>
        <w:jc w:val="center"/>
        <w:rPr>
          <w:rFonts w:cs="宋体" w:asciiTheme="minorEastAsia" w:hAnsiTheme="minorEastAsia" w:eastAsiaTheme="minorEastAsia"/>
          <w:b/>
          <w:bCs/>
          <w:color w:val="auto"/>
          <w:kern w:val="0"/>
          <w:sz w:val="32"/>
          <w:szCs w:val="28"/>
          <w:highlight w:val="none"/>
          <w:u w:val="single"/>
        </w:rPr>
      </w:pPr>
    </w:p>
    <w:p>
      <w:pPr>
        <w:widowControl/>
        <w:spacing w:line="360" w:lineRule="auto"/>
        <w:jc w:val="center"/>
        <w:rPr>
          <w:rFonts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b/>
          <w:bCs/>
          <w:color w:val="auto"/>
          <w:kern w:val="0"/>
          <w:sz w:val="28"/>
          <w:szCs w:val="28"/>
          <w:highlight w:val="none"/>
        </w:rPr>
        <w:t>供应商</w:t>
      </w:r>
      <w:r>
        <w:rPr>
          <w:rFonts w:cs="宋体" w:asciiTheme="minorEastAsia" w:hAnsiTheme="minorEastAsia" w:eastAsiaTheme="minorEastAsia"/>
          <w:b/>
          <w:bCs/>
          <w:color w:val="auto"/>
          <w:kern w:val="0"/>
          <w:sz w:val="28"/>
          <w:szCs w:val="28"/>
          <w:highlight w:val="none"/>
        </w:rPr>
        <w:t>：</w:t>
      </w:r>
      <w:r>
        <w:rPr>
          <w:rFonts w:cs="宋体" w:asciiTheme="minorEastAsia" w:hAnsiTheme="minorEastAsia" w:eastAsiaTheme="minorEastAsia"/>
          <w:b/>
          <w:bCs/>
          <w:color w:val="auto"/>
          <w:kern w:val="0"/>
          <w:sz w:val="28"/>
          <w:szCs w:val="28"/>
          <w:highlight w:val="none"/>
          <w:u w:val="single"/>
        </w:rPr>
        <w:t>（填写“全称”）</w:t>
      </w:r>
    </w:p>
    <w:p>
      <w:pPr>
        <w:widowControl/>
        <w:spacing w:line="360" w:lineRule="auto"/>
        <w:jc w:val="center"/>
        <w:rPr>
          <w:rFonts w:cs="宋体" w:asciiTheme="minorEastAsia" w:hAnsiTheme="minorEastAsia" w:eastAsiaTheme="minorEastAsia"/>
          <w:b/>
          <w:bCs/>
          <w:color w:val="auto"/>
          <w:kern w:val="0"/>
          <w:sz w:val="28"/>
          <w:szCs w:val="28"/>
          <w:highlight w:val="none"/>
        </w:rPr>
      </w:pPr>
      <w:r>
        <w:rPr>
          <w:rFonts w:cs="宋体" w:asciiTheme="minorEastAsia" w:hAnsiTheme="minorEastAsia" w:eastAsiaTheme="minorEastAsia"/>
          <w:b/>
          <w:bCs/>
          <w:color w:val="auto"/>
          <w:kern w:val="0"/>
          <w:sz w:val="28"/>
          <w:szCs w:val="28"/>
          <w:highlight w:val="none"/>
          <w:u w:val="single"/>
        </w:rPr>
        <w:t>（由</w:t>
      </w:r>
      <w:r>
        <w:rPr>
          <w:rFonts w:hint="eastAsia" w:cs="宋体" w:asciiTheme="minorEastAsia" w:hAnsiTheme="minorEastAsia" w:eastAsiaTheme="minorEastAsia"/>
          <w:b/>
          <w:bCs/>
          <w:color w:val="auto"/>
          <w:kern w:val="0"/>
          <w:sz w:val="28"/>
          <w:szCs w:val="28"/>
          <w:highlight w:val="none"/>
          <w:u w:val="single"/>
        </w:rPr>
        <w:t>供应商</w:t>
      </w:r>
      <w:r>
        <w:rPr>
          <w:rFonts w:cs="宋体" w:asciiTheme="minorEastAsia" w:hAnsiTheme="minorEastAsia" w:eastAsiaTheme="minorEastAsia"/>
          <w:b/>
          <w:bCs/>
          <w:color w:val="auto"/>
          <w:kern w:val="0"/>
          <w:sz w:val="28"/>
          <w:szCs w:val="28"/>
          <w:highlight w:val="none"/>
          <w:u w:val="single"/>
        </w:rPr>
        <w:t>填写）</w:t>
      </w:r>
      <w:r>
        <w:rPr>
          <w:rFonts w:cs="宋体" w:asciiTheme="minorEastAsia" w:hAnsiTheme="minorEastAsia" w:eastAsiaTheme="minorEastAsia"/>
          <w:b/>
          <w:bCs/>
          <w:color w:val="auto"/>
          <w:kern w:val="0"/>
          <w:sz w:val="28"/>
          <w:szCs w:val="28"/>
          <w:highlight w:val="none"/>
        </w:rPr>
        <w:t>年</w:t>
      </w:r>
      <w:r>
        <w:rPr>
          <w:rFonts w:cs="宋体" w:asciiTheme="minorEastAsia" w:hAnsiTheme="minorEastAsia" w:eastAsiaTheme="minorEastAsia"/>
          <w:b/>
          <w:bCs/>
          <w:color w:val="auto"/>
          <w:kern w:val="0"/>
          <w:sz w:val="28"/>
          <w:szCs w:val="28"/>
          <w:highlight w:val="none"/>
          <w:u w:val="single"/>
        </w:rPr>
        <w:t>（由</w:t>
      </w:r>
      <w:r>
        <w:rPr>
          <w:rFonts w:hint="eastAsia" w:cs="宋体" w:asciiTheme="minorEastAsia" w:hAnsiTheme="minorEastAsia" w:eastAsiaTheme="minorEastAsia"/>
          <w:b/>
          <w:bCs/>
          <w:color w:val="auto"/>
          <w:kern w:val="0"/>
          <w:sz w:val="28"/>
          <w:szCs w:val="28"/>
          <w:highlight w:val="none"/>
          <w:u w:val="single"/>
        </w:rPr>
        <w:t>供应商</w:t>
      </w:r>
      <w:r>
        <w:rPr>
          <w:rFonts w:cs="宋体" w:asciiTheme="minorEastAsia" w:hAnsiTheme="minorEastAsia" w:eastAsiaTheme="minorEastAsia"/>
          <w:b/>
          <w:bCs/>
          <w:color w:val="auto"/>
          <w:kern w:val="0"/>
          <w:sz w:val="28"/>
          <w:szCs w:val="28"/>
          <w:highlight w:val="none"/>
          <w:u w:val="single"/>
        </w:rPr>
        <w:t>填写）</w:t>
      </w:r>
      <w:r>
        <w:rPr>
          <w:rFonts w:cs="宋体" w:asciiTheme="minorEastAsia" w:hAnsiTheme="minorEastAsia" w:eastAsiaTheme="minorEastAsia"/>
          <w:b/>
          <w:bCs/>
          <w:color w:val="auto"/>
          <w:kern w:val="0"/>
          <w:sz w:val="28"/>
          <w:szCs w:val="28"/>
          <w:highlight w:val="none"/>
        </w:rPr>
        <w:t>月</w:t>
      </w:r>
    </w:p>
    <w:p>
      <w:pPr>
        <w:widowControl/>
        <w:spacing w:line="360" w:lineRule="auto"/>
        <w:jc w:val="center"/>
        <w:rPr>
          <w:rFonts w:cs="宋体" w:asciiTheme="minorEastAsia" w:hAnsiTheme="minorEastAsia" w:eastAsiaTheme="minorEastAsia"/>
          <w:color w:val="auto"/>
          <w:kern w:val="0"/>
          <w:sz w:val="28"/>
          <w:szCs w:val="28"/>
          <w:highlight w:val="none"/>
        </w:rPr>
        <w:sectPr>
          <w:pgSz w:w="11906" w:h="16838"/>
          <w:pgMar w:top="1418" w:right="1418" w:bottom="1418" w:left="1418" w:header="851" w:footer="992" w:gutter="0"/>
          <w:pgNumType w:fmt="decimal"/>
          <w:cols w:space="720" w:num="1"/>
          <w:titlePg/>
          <w:docGrid w:linePitch="312" w:charSpace="0"/>
        </w:sectPr>
      </w:pPr>
    </w:p>
    <w:p>
      <w:pPr>
        <w:widowControl/>
        <w:spacing w:before="100" w:beforeAutospacing="1" w:after="100" w:afterAutospacing="1" w:line="360" w:lineRule="auto"/>
        <w:jc w:val="center"/>
        <w:rPr>
          <w:rFonts w:ascii="黑体" w:hAnsi="黑体" w:eastAsia="黑体" w:cs="宋体"/>
          <w:b/>
          <w:bCs/>
          <w:color w:val="auto"/>
          <w:kern w:val="0"/>
          <w:sz w:val="28"/>
          <w:szCs w:val="18"/>
          <w:highlight w:val="none"/>
        </w:rPr>
      </w:pPr>
      <w:r>
        <w:rPr>
          <w:rFonts w:hint="eastAsia" w:ascii="黑体" w:hAnsi="黑体" w:eastAsia="黑体" w:cs="宋体"/>
          <w:b/>
          <w:bCs/>
          <w:color w:val="auto"/>
          <w:kern w:val="0"/>
          <w:sz w:val="28"/>
          <w:szCs w:val="18"/>
          <w:highlight w:val="none"/>
        </w:rPr>
        <w:t>目  录</w:t>
      </w:r>
    </w:p>
    <w:p>
      <w:pPr>
        <w:widowControl/>
        <w:spacing w:line="360" w:lineRule="auto"/>
        <w:ind w:firstLine="560" w:firstLineChars="200"/>
        <w:jc w:val="left"/>
        <w:rPr>
          <w:rFonts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rPr>
        <w:t>一、响应函</w:t>
      </w:r>
    </w:p>
    <w:p>
      <w:pPr>
        <w:widowControl/>
        <w:spacing w:line="360" w:lineRule="auto"/>
        <w:ind w:firstLine="560" w:firstLineChars="200"/>
        <w:jc w:val="left"/>
        <w:rPr>
          <w:rFonts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rPr>
        <w:t>二、报价文件</w:t>
      </w:r>
    </w:p>
    <w:p>
      <w:pPr>
        <w:widowControl/>
        <w:spacing w:line="360" w:lineRule="auto"/>
        <w:ind w:firstLine="560" w:firstLineChars="200"/>
        <w:jc w:val="left"/>
        <w:rPr>
          <w:rFonts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rPr>
        <w:t>三、资格证明文件</w:t>
      </w:r>
    </w:p>
    <w:p>
      <w:pPr>
        <w:widowControl/>
        <w:spacing w:line="360" w:lineRule="auto"/>
        <w:ind w:firstLine="560" w:firstLineChars="200"/>
        <w:jc w:val="left"/>
        <w:rPr>
          <w:rFonts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rPr>
        <w:t>四、磋商保证金凭证</w:t>
      </w:r>
    </w:p>
    <w:p>
      <w:pPr>
        <w:widowControl/>
        <w:spacing w:line="360" w:lineRule="auto"/>
        <w:ind w:firstLine="560" w:firstLineChars="200"/>
        <w:jc w:val="left"/>
        <w:rPr>
          <w:rFonts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rPr>
        <w:t>五、技术和商务偏离表</w:t>
      </w:r>
    </w:p>
    <w:p>
      <w:pPr>
        <w:widowControl/>
        <w:spacing w:line="360" w:lineRule="auto"/>
        <w:ind w:firstLine="560" w:firstLineChars="200"/>
        <w:jc w:val="left"/>
        <w:rPr>
          <w:rFonts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rPr>
        <w:t>六、相关技术、商务、服务响应承诺及资料</w:t>
      </w:r>
    </w:p>
    <w:p>
      <w:pPr>
        <w:widowControl/>
        <w:spacing w:line="360" w:lineRule="auto"/>
        <w:ind w:firstLine="560" w:firstLineChars="200"/>
        <w:jc w:val="left"/>
        <w:rPr>
          <w:rFonts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rPr>
        <w:t>七、供应商提交的其他资料</w:t>
      </w:r>
    </w:p>
    <w:p>
      <w:pPr>
        <w:widowControl/>
        <w:spacing w:line="360" w:lineRule="auto"/>
        <w:ind w:firstLine="560" w:firstLineChars="200"/>
        <w:jc w:val="left"/>
        <w:rPr>
          <w:rFonts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rPr>
        <w:t>八、要求作为响应文件组成部分的其他内容（若有）</w:t>
      </w:r>
    </w:p>
    <w:p>
      <w:pPr>
        <w:rPr>
          <w:color w:val="auto"/>
          <w:kern w:val="0"/>
          <w:highlight w:val="none"/>
        </w:rPr>
      </w:pPr>
      <w:r>
        <w:rPr>
          <w:color w:val="auto"/>
          <w:kern w:val="0"/>
          <w:highlight w:val="none"/>
        </w:rPr>
        <w:t> </w:t>
      </w:r>
    </w:p>
    <w:p>
      <w:pPr>
        <w:rPr>
          <w:color w:val="auto"/>
          <w:kern w:val="0"/>
          <w:highlight w:val="none"/>
        </w:rPr>
      </w:pPr>
    </w:p>
    <w:p>
      <w:pPr>
        <w:rPr>
          <w:color w:val="auto"/>
          <w:highlight w:val="none"/>
        </w:rPr>
        <w:sectPr>
          <w:pgSz w:w="11906" w:h="16838"/>
          <w:pgMar w:top="1418" w:right="1418" w:bottom="1418" w:left="1418" w:header="851" w:footer="992" w:gutter="0"/>
          <w:pgNumType w:fmt="decimal"/>
          <w:cols w:space="720" w:num="1"/>
          <w:titlePg/>
          <w:docGrid w:linePitch="312" w:charSpace="0"/>
        </w:sectPr>
      </w:pP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一、</w:t>
      </w:r>
      <w:r>
        <w:rPr>
          <w:rFonts w:hint="eastAsia" w:cs="宋体" w:asciiTheme="minorEastAsia" w:hAnsiTheme="minorEastAsia" w:eastAsiaTheme="minorEastAsia"/>
          <w:b/>
          <w:bCs/>
          <w:color w:val="auto"/>
          <w:kern w:val="0"/>
          <w:sz w:val="28"/>
          <w:szCs w:val="28"/>
          <w:highlight w:val="none"/>
        </w:rPr>
        <w:t>响应函</w:t>
      </w:r>
    </w:p>
    <w:p>
      <w:pPr>
        <w:widowControl/>
        <w:spacing w:line="360" w:lineRule="auto"/>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致：</w:t>
      </w:r>
      <w:r>
        <w:rPr>
          <w:rFonts w:cs="宋体" w:asciiTheme="minorEastAsia" w:hAnsiTheme="minorEastAsia" w:eastAsiaTheme="minorEastAsia"/>
          <w:color w:val="auto"/>
          <w:kern w:val="0"/>
          <w:sz w:val="24"/>
          <w:highlight w:val="none"/>
          <w:u w:val="single"/>
        </w:rPr>
        <w:t>  </w:t>
      </w:r>
      <w:r>
        <w:rPr>
          <w:rFonts w:hint="eastAsia" w:cs="宋体" w:asciiTheme="minorEastAsia" w:hAnsiTheme="minorEastAsia" w:eastAsiaTheme="minorEastAsia"/>
          <w:color w:val="auto"/>
          <w:kern w:val="0"/>
          <w:sz w:val="24"/>
          <w:highlight w:val="none"/>
          <w:u w:val="single"/>
        </w:rPr>
        <w:t>（</w:t>
      </w:r>
      <w:r>
        <w:rPr>
          <w:rFonts w:cs="宋体" w:asciiTheme="minorEastAsia" w:hAnsiTheme="minorEastAsia" w:eastAsiaTheme="minorEastAsia"/>
          <w:color w:val="auto"/>
          <w:kern w:val="0"/>
          <w:sz w:val="24"/>
          <w:highlight w:val="none"/>
          <w:u w:val="single"/>
        </w:rPr>
        <w:t>采购人</w:t>
      </w:r>
      <w:r>
        <w:rPr>
          <w:rFonts w:hint="eastAsia" w:cs="宋体" w:asciiTheme="minorEastAsia" w:hAnsiTheme="minorEastAsia" w:eastAsiaTheme="minorEastAsia"/>
          <w:color w:val="auto"/>
          <w:kern w:val="0"/>
          <w:sz w:val="24"/>
          <w:highlight w:val="none"/>
          <w:u w:val="single"/>
        </w:rPr>
        <w:t>）</w:t>
      </w:r>
      <w:r>
        <w:rPr>
          <w:rFonts w:cs="宋体" w:asciiTheme="minorEastAsia" w:hAnsiTheme="minorEastAsia" w:eastAsiaTheme="minorEastAsia"/>
          <w:color w:val="auto"/>
          <w:kern w:val="0"/>
          <w:sz w:val="24"/>
          <w:highlight w:val="none"/>
          <w:u w:val="singl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1.根据贵方为</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项目（项目编号</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）的采购公告（或采购邀请书），我方签字代表</w:t>
      </w:r>
      <w:r>
        <w:rPr>
          <w:rFonts w:cs="宋体" w:asciiTheme="minorEastAsia" w:hAnsiTheme="minorEastAsia" w:eastAsiaTheme="minorEastAsia"/>
          <w:color w:val="auto"/>
          <w:kern w:val="0"/>
          <w:sz w:val="24"/>
          <w:highlight w:val="none"/>
          <w:u w:val="single"/>
        </w:rPr>
        <w:t>     （全名、职务）</w:t>
      </w:r>
      <w:r>
        <w:rPr>
          <w:rFonts w:cs="宋体" w:asciiTheme="minorEastAsia" w:hAnsiTheme="minorEastAsia" w:eastAsiaTheme="minorEastAsia"/>
          <w:color w:val="auto"/>
          <w:kern w:val="0"/>
          <w:sz w:val="24"/>
          <w:highlight w:val="none"/>
        </w:rPr>
        <w:t>经正式授权并代表的供应商</w:t>
      </w:r>
      <w:r>
        <w:rPr>
          <w:rFonts w:cs="宋体" w:asciiTheme="minorEastAsia" w:hAnsiTheme="minorEastAsia" w:eastAsiaTheme="minorEastAsia"/>
          <w:color w:val="auto"/>
          <w:kern w:val="0"/>
          <w:sz w:val="24"/>
          <w:highlight w:val="none"/>
          <w:u w:val="single"/>
        </w:rPr>
        <w:t>    （供应商名称、地址）</w:t>
      </w:r>
      <w:r>
        <w:rPr>
          <w:rFonts w:cs="宋体" w:asciiTheme="minorEastAsia" w:hAnsiTheme="minorEastAsia" w:eastAsiaTheme="minorEastAsia"/>
          <w:color w:val="auto"/>
          <w:kern w:val="0"/>
          <w:sz w:val="24"/>
          <w:highlight w:val="none"/>
        </w:rPr>
        <w:t>提交包含下述内容的首次响应文件纸质文本正本</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套，副本</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套及电子文档</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套。</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（1）响应函</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（2）报价</w:t>
      </w:r>
      <w:r>
        <w:rPr>
          <w:rFonts w:hint="eastAsia" w:cs="宋体" w:asciiTheme="minorEastAsia" w:hAnsiTheme="minorEastAsia" w:eastAsiaTheme="minorEastAsia"/>
          <w:color w:val="auto"/>
          <w:kern w:val="0"/>
          <w:sz w:val="24"/>
          <w:highlight w:val="none"/>
        </w:rPr>
        <w:t>文件</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（3）资格证明文件</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（4）磋商保证金凭证</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（5）技术和商务偏离表</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（6）相关技术、商务、服务响应承诺及资料</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（7）供应商提交的其他资料</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（8）按照磋商文件规定，要求作为响应文件组成部分的其他内容（若有）</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2.据此函，我方宣布响应承诺如下：</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2.3我方承诺：递交的所有响应文件（包括首次响应文件、补充澄清、最后报价等响应文件）在竞争性磋商须知前附表第</w:t>
      </w:r>
      <w:r>
        <w:rPr>
          <w:rFonts w:hint="eastAsia" w:cs="宋体" w:asciiTheme="minorEastAsia" w:hAnsiTheme="minorEastAsia" w:eastAsiaTheme="minorEastAsia"/>
          <w:color w:val="auto"/>
          <w:kern w:val="0"/>
          <w:sz w:val="24"/>
          <w:highlight w:val="none"/>
        </w:rPr>
        <w:t>2</w:t>
      </w:r>
      <w:r>
        <w:rPr>
          <w:rFonts w:cs="宋体" w:asciiTheme="minorEastAsia" w:hAnsiTheme="minorEastAsia" w:eastAsiaTheme="minorEastAsia"/>
          <w:color w:val="auto"/>
          <w:kern w:val="0"/>
          <w:sz w:val="24"/>
          <w:highlight w:val="none"/>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2.4我方已经按照磋商文件要求提交磋商保证金。我方如果发生任何竞争性磋商文件中所述不予退还磋商保证金的情况，则我方的磋商保证金将被贵方不予退还，我方对此无异议。</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2.5我方愿意向贵方提供任何与本项目磋商采购有关的数据或资料。若贵方需要，我方愿意提供我方作出的一切承诺的证明材料。</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通信地址</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u w:val="singl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邮编：</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   传真号：</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u w:val="single"/>
        </w:rPr>
        <w:t xml:space="preserve">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联系电话（固定电话和移动电话）：</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u w:val="single"/>
        </w:rPr>
        <w:t xml:space="preserve">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供应商代表：</w:t>
      </w:r>
      <w:r>
        <w:rPr>
          <w:rFonts w:cs="宋体" w:asciiTheme="minorEastAsia" w:hAnsiTheme="minorEastAsia" w:eastAsiaTheme="minorEastAsia"/>
          <w:color w:val="auto"/>
          <w:kern w:val="0"/>
          <w:sz w:val="24"/>
          <w:highlight w:val="none"/>
          <w:u w:val="single"/>
        </w:rPr>
        <w:t>             </w:t>
      </w:r>
      <w:r>
        <w:rPr>
          <w:rFonts w:hint="eastAsia" w:cs="宋体" w:asciiTheme="minorEastAsia" w:hAnsiTheme="minorEastAsia" w:eastAsiaTheme="minorEastAsia"/>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（签字）</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供应商代表电子信箱：</w:t>
      </w:r>
      <w:r>
        <w:rPr>
          <w:rFonts w:cs="宋体" w:asciiTheme="minorEastAsia" w:hAnsiTheme="minorEastAsia" w:eastAsiaTheme="minorEastAsia"/>
          <w:color w:val="auto"/>
          <w:kern w:val="0"/>
          <w:sz w:val="24"/>
          <w:highlight w:val="none"/>
          <w:u w:val="single"/>
        </w:rPr>
        <w:t>                 </w:t>
      </w:r>
      <w:r>
        <w:rPr>
          <w:rFonts w:hint="eastAsia" w:cs="宋体" w:asciiTheme="minorEastAsia" w:hAnsiTheme="minorEastAsia" w:eastAsiaTheme="minorEastAsia"/>
          <w:color w:val="auto"/>
          <w:kern w:val="0"/>
          <w:sz w:val="24"/>
          <w:highlight w:val="none"/>
          <w:u w:val="single"/>
        </w:rPr>
        <w:t xml:space="preserve">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供应商：</w:t>
      </w:r>
      <w:r>
        <w:rPr>
          <w:rFonts w:cs="宋体" w:asciiTheme="minorEastAsia" w:hAnsiTheme="minorEastAsia" w:eastAsiaTheme="minorEastAsia"/>
          <w:color w:val="auto"/>
          <w:kern w:val="0"/>
          <w:sz w:val="24"/>
          <w:highlight w:val="none"/>
          <w:u w:val="single"/>
        </w:rPr>
        <w:t>       </w:t>
      </w:r>
      <w:r>
        <w:rPr>
          <w:rFonts w:hint="eastAsia" w:cs="宋体" w:asciiTheme="minorEastAsia" w:hAnsiTheme="minorEastAsia" w:eastAsiaTheme="minorEastAsia"/>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  （全称并加盖公章）</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日  期：</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年 </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月 </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日</w:t>
      </w:r>
    </w:p>
    <w:p>
      <w:pPr>
        <w:widowControl/>
        <w:spacing w:line="360" w:lineRule="auto"/>
        <w:jc w:val="left"/>
        <w:rPr>
          <w:rFonts w:cs="宋体" w:asciiTheme="minorEastAsia" w:hAnsiTheme="minorEastAsia" w:eastAsiaTheme="minorEastAsia"/>
          <w:color w:val="auto"/>
          <w:kern w:val="0"/>
          <w:sz w:val="24"/>
          <w:highlight w:val="none"/>
        </w:rPr>
        <w:sectPr>
          <w:pgSz w:w="11906" w:h="16838"/>
          <w:pgMar w:top="1418" w:right="1418" w:bottom="1418" w:left="1418" w:header="851" w:footer="992" w:gutter="0"/>
          <w:pgNumType w:fmt="decimal"/>
          <w:cols w:space="720" w:num="1"/>
          <w:titlePg/>
          <w:docGrid w:linePitch="312" w:charSpace="0"/>
        </w:sectPr>
      </w:pP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二、报价文件</w:t>
      </w: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二-1、</w:t>
      </w:r>
      <w:r>
        <w:rPr>
          <w:rFonts w:cs="宋体" w:asciiTheme="minorEastAsia" w:hAnsiTheme="minorEastAsia" w:eastAsiaTheme="minorEastAsia"/>
          <w:b/>
          <w:color w:val="auto"/>
          <w:kern w:val="0"/>
          <w:sz w:val="28"/>
          <w:szCs w:val="28"/>
          <w:highlight w:val="none"/>
        </w:rPr>
        <w:t>报价一览表</w:t>
      </w:r>
    </w:p>
    <w:p>
      <w:pPr>
        <w:widowControl/>
        <w:spacing w:before="50" w:after="50" w:line="360" w:lineRule="auto"/>
        <w:jc w:val="left"/>
        <w:rPr>
          <w:rFonts w:ascii="宋体" w:hAnsi="宋体" w:cs="宋体"/>
          <w:color w:val="auto"/>
          <w:kern w:val="0"/>
          <w:sz w:val="24"/>
          <w:highlight w:val="none"/>
        </w:rPr>
      </w:pPr>
      <w:r>
        <w:rPr>
          <w:rFonts w:ascii="宋体" w:hAnsi="宋体" w:cs="宋体"/>
          <w:color w:val="auto"/>
          <w:kern w:val="0"/>
          <w:sz w:val="24"/>
          <w:highlight w:val="none"/>
        </w:rPr>
        <w:t>项目编号</w:t>
      </w:r>
      <w:r>
        <w:rPr>
          <w:rFonts w:hint="eastAsia" w:ascii="宋体" w:hAnsi="宋体" w:cs="宋体"/>
          <w:color w:val="auto"/>
          <w:kern w:val="0"/>
          <w:sz w:val="24"/>
          <w:highlight w:val="none"/>
        </w:rPr>
        <w:t>：</w:t>
      </w:r>
      <w:r>
        <w:rPr>
          <w:rFonts w:ascii="宋体" w:hAnsi="宋体" w:cs="宋体"/>
          <w:color w:val="auto"/>
          <w:kern w:val="0"/>
          <w:sz w:val="24"/>
          <w:highlight w:val="none"/>
          <w:u w:val="single"/>
        </w:rPr>
        <w:t>       </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w:t>
      </w:r>
      <w:r>
        <w:rPr>
          <w:rFonts w:ascii="宋体" w:hAnsi="宋体" w:cs="宋体"/>
          <w:color w:val="auto"/>
          <w:kern w:val="0"/>
          <w:sz w:val="24"/>
          <w:highlight w:val="none"/>
        </w:rPr>
        <w:t> </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货币单位：元人民币</w:t>
      </w:r>
    </w:p>
    <w:tbl>
      <w:tblPr>
        <w:tblStyle w:val="40"/>
        <w:tblW w:w="8974" w:type="dxa"/>
        <w:jc w:val="center"/>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autofit"/>
        <w:tblCellMar>
          <w:top w:w="15" w:type="dxa"/>
          <w:left w:w="15" w:type="dxa"/>
          <w:bottom w:w="15" w:type="dxa"/>
          <w:right w:w="15" w:type="dxa"/>
        </w:tblCellMar>
      </w:tblPr>
      <w:tblGrid>
        <w:gridCol w:w="1512"/>
        <w:gridCol w:w="2551"/>
        <w:gridCol w:w="2410"/>
        <w:gridCol w:w="1720"/>
        <w:gridCol w:w="781"/>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10" w:hRule="atLeast"/>
          <w:jc w:val="center"/>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合同包</w:t>
            </w:r>
          </w:p>
        </w:tc>
        <w:tc>
          <w:tcPr>
            <w:tcW w:w="2551"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首次报价</w:t>
            </w:r>
          </w:p>
        </w:tc>
        <w:tc>
          <w:tcPr>
            <w:tcW w:w="2410"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交货期/工期/项目完成时间/服务时间</w:t>
            </w:r>
          </w:p>
        </w:tc>
        <w:tc>
          <w:tcPr>
            <w:tcW w:w="1720"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磋商保证金</w:t>
            </w:r>
          </w:p>
        </w:tc>
        <w:tc>
          <w:tcPr>
            <w:tcW w:w="781"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备注</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10" w:hRule="atLeast"/>
          <w:jc w:val="center"/>
        </w:trPr>
        <w:tc>
          <w:tcPr>
            <w:tcW w:w="1512"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w:t>
            </w:r>
          </w:p>
        </w:tc>
        <w:tc>
          <w:tcPr>
            <w:tcW w:w="255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c>
          <w:tcPr>
            <w:tcW w:w="241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c>
          <w:tcPr>
            <w:tcW w:w="172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c>
          <w:tcPr>
            <w:tcW w:w="78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10" w:hRule="atLeast"/>
          <w:jc w:val="center"/>
        </w:trPr>
        <w:tc>
          <w:tcPr>
            <w:tcW w:w="1512"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Calibri" w:asciiTheme="minorEastAsia" w:hAnsiTheme="minorEastAsia" w:eastAsiaTheme="minorEastAsia"/>
                <w:color w:val="auto"/>
                <w:kern w:val="0"/>
                <w:sz w:val="24"/>
                <w:highlight w:val="none"/>
              </w:rPr>
              <w:t>…</w:t>
            </w:r>
          </w:p>
        </w:tc>
        <w:tc>
          <w:tcPr>
            <w:tcW w:w="255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c>
          <w:tcPr>
            <w:tcW w:w="241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c>
          <w:tcPr>
            <w:tcW w:w="172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c>
          <w:tcPr>
            <w:tcW w:w="78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10" w:hRule="atLeast"/>
          <w:jc w:val="center"/>
        </w:trPr>
        <w:tc>
          <w:tcPr>
            <w:tcW w:w="1512"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Calibri" w:asciiTheme="minorEastAsia" w:hAnsiTheme="minorEastAsia" w:eastAsiaTheme="minorEastAsia"/>
                <w:color w:val="auto"/>
                <w:kern w:val="0"/>
                <w:sz w:val="24"/>
                <w:highlight w:val="none"/>
              </w:rPr>
              <w:t>…</w:t>
            </w:r>
          </w:p>
        </w:tc>
        <w:tc>
          <w:tcPr>
            <w:tcW w:w="255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c>
          <w:tcPr>
            <w:tcW w:w="241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c>
          <w:tcPr>
            <w:tcW w:w="172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c>
          <w:tcPr>
            <w:tcW w:w="78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10" w:hRule="atLeast"/>
          <w:jc w:val="center"/>
        </w:trPr>
        <w:tc>
          <w:tcPr>
            <w:tcW w:w="1512"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Calibri" w:asciiTheme="minorEastAsia" w:hAnsiTheme="minorEastAsia" w:eastAsiaTheme="minorEastAsia"/>
                <w:color w:val="auto"/>
                <w:kern w:val="0"/>
                <w:sz w:val="24"/>
                <w:highlight w:val="none"/>
              </w:rPr>
              <w:t>…</w:t>
            </w:r>
          </w:p>
        </w:tc>
        <w:tc>
          <w:tcPr>
            <w:tcW w:w="255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c>
          <w:tcPr>
            <w:tcW w:w="241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c>
          <w:tcPr>
            <w:tcW w:w="172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c>
          <w:tcPr>
            <w:tcW w:w="78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10" w:hRule="atLeast"/>
          <w:jc w:val="center"/>
        </w:trPr>
        <w:tc>
          <w:tcPr>
            <w:tcW w:w="1512"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Calibri" w:asciiTheme="minorEastAsia" w:hAnsiTheme="minorEastAsia" w:eastAsiaTheme="minorEastAsia"/>
                <w:color w:val="auto"/>
                <w:kern w:val="0"/>
                <w:sz w:val="24"/>
                <w:highlight w:val="none"/>
              </w:rPr>
              <w:t>…</w:t>
            </w:r>
          </w:p>
        </w:tc>
        <w:tc>
          <w:tcPr>
            <w:tcW w:w="255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c>
          <w:tcPr>
            <w:tcW w:w="241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c>
          <w:tcPr>
            <w:tcW w:w="172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c>
          <w:tcPr>
            <w:tcW w:w="781"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r>
    </w:tbl>
    <w:p>
      <w:pPr>
        <w:widowControl/>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备注：详细报价书另纸详列，格式自拟。</w:t>
      </w:r>
    </w:p>
    <w:p>
      <w:pPr>
        <w:widowControl/>
        <w:spacing w:line="360" w:lineRule="auto"/>
        <w:jc w:val="left"/>
        <w:rPr>
          <w:rFonts w:ascii="宋体" w:hAnsi="宋体" w:cs="宋体"/>
          <w:color w:val="auto"/>
          <w:kern w:val="0"/>
          <w:sz w:val="24"/>
          <w:highlight w:val="none"/>
        </w:rPr>
      </w:pPr>
    </w:p>
    <w:p>
      <w:pPr>
        <w:widowControl/>
        <w:spacing w:line="360" w:lineRule="auto"/>
        <w:jc w:val="left"/>
        <w:rPr>
          <w:rFonts w:ascii="宋体" w:hAnsi="宋体" w:cs="宋体"/>
          <w:color w:val="auto"/>
          <w:kern w:val="0"/>
          <w:sz w:val="24"/>
          <w:highlight w:val="none"/>
        </w:rPr>
      </w:pPr>
    </w:p>
    <w:p>
      <w:pPr>
        <w:widowControl/>
        <w:spacing w:line="360" w:lineRule="auto"/>
        <w:jc w:val="left"/>
        <w:rPr>
          <w:rFonts w:ascii="宋体" w:hAnsi="宋体" w:cs="宋体"/>
          <w:color w:val="auto"/>
          <w:kern w:val="0"/>
          <w:sz w:val="24"/>
          <w:highlight w:val="none"/>
          <w:u w:val="single"/>
        </w:rPr>
      </w:pPr>
      <w:r>
        <w:rPr>
          <w:rFonts w:ascii="宋体" w:hAnsi="宋体" w:cs="宋体"/>
          <w:color w:val="auto"/>
          <w:kern w:val="0"/>
          <w:sz w:val="24"/>
          <w:highlight w:val="none"/>
        </w:rPr>
        <w:t>供应商名称（全称加盖单位公章）：</w:t>
      </w:r>
      <w:r>
        <w:rPr>
          <w:rFonts w:hint="eastAsia" w:ascii="宋体" w:hAnsi="宋体" w:cs="宋体"/>
          <w:color w:val="auto"/>
          <w:kern w:val="0"/>
          <w:sz w:val="24"/>
          <w:highlight w:val="none"/>
          <w:u w:val="single"/>
        </w:rPr>
        <w:t xml:space="preserve">                    </w:t>
      </w:r>
    </w:p>
    <w:p>
      <w:pPr>
        <w:widowControl/>
        <w:spacing w:line="360" w:lineRule="auto"/>
        <w:jc w:val="left"/>
        <w:rPr>
          <w:rFonts w:ascii="宋体" w:hAnsi="宋体" w:cs="宋体"/>
          <w:color w:val="auto"/>
          <w:kern w:val="0"/>
          <w:sz w:val="24"/>
          <w:highlight w:val="none"/>
          <w:u w:val="single"/>
        </w:rPr>
      </w:pPr>
      <w:r>
        <w:rPr>
          <w:rFonts w:ascii="宋体" w:hAnsi="宋体" w:cs="宋体"/>
          <w:color w:val="auto"/>
          <w:kern w:val="0"/>
          <w:sz w:val="24"/>
          <w:highlight w:val="none"/>
        </w:rPr>
        <w:t>供应商代表（签字）：</w:t>
      </w:r>
      <w:r>
        <w:rPr>
          <w:rFonts w:ascii="宋体" w:hAnsi="宋体" w:cs="宋体"/>
          <w:color w:val="auto"/>
          <w:kern w:val="0"/>
          <w:sz w:val="24"/>
          <w:highlight w:val="none"/>
          <w:u w:val="single"/>
        </w:rPr>
        <w:t>      </w:t>
      </w:r>
      <w:r>
        <w:rPr>
          <w:rFonts w:hint="eastAsia" w:ascii="宋体" w:hAnsi="宋体" w:cs="宋体"/>
          <w:color w:val="auto"/>
          <w:kern w:val="0"/>
          <w:sz w:val="24"/>
          <w:highlight w:val="none"/>
          <w:u w:val="single"/>
        </w:rPr>
        <w:t xml:space="preserve">                    </w:t>
      </w:r>
    </w:p>
    <w:p>
      <w:pPr>
        <w:widowControl/>
        <w:spacing w:line="360" w:lineRule="auto"/>
        <w:jc w:val="left"/>
        <w:rPr>
          <w:rFonts w:ascii="宋体" w:hAnsi="宋体" w:cs="宋体"/>
          <w:color w:val="auto"/>
          <w:kern w:val="0"/>
          <w:sz w:val="24"/>
          <w:highlight w:val="none"/>
        </w:rPr>
      </w:pPr>
      <w:r>
        <w:rPr>
          <w:rFonts w:cs="宋体" w:asciiTheme="minorEastAsia" w:hAnsiTheme="minorEastAsia" w:eastAsiaTheme="minorEastAsia"/>
          <w:color w:val="auto"/>
          <w:kern w:val="0"/>
          <w:sz w:val="24"/>
          <w:highlight w:val="none"/>
        </w:rPr>
        <w:t>日  </w:t>
      </w:r>
      <w:r>
        <w:rPr>
          <w:rFonts w:hint="eastAsia" w:cs="宋体" w:asciiTheme="minorEastAsia" w:hAnsiTheme="minorEastAsia" w:eastAsiaTheme="minorEastAsia"/>
          <w:color w:val="auto"/>
          <w:kern w:val="0"/>
          <w:sz w:val="24"/>
          <w:highlight w:val="none"/>
        </w:rPr>
        <w:t xml:space="preserve">  </w:t>
      </w:r>
      <w:r>
        <w:rPr>
          <w:rFonts w:cs="宋体" w:asciiTheme="minorEastAsia" w:hAnsiTheme="minorEastAsia" w:eastAsiaTheme="minorEastAsia"/>
          <w:color w:val="auto"/>
          <w:kern w:val="0"/>
          <w:sz w:val="24"/>
          <w:highlight w:val="none"/>
        </w:rPr>
        <w:t>期：</w:t>
      </w:r>
      <w:r>
        <w:rPr>
          <w:rFonts w:hint="eastAsia" w:cs="宋体" w:asciiTheme="minorEastAsia" w:hAnsiTheme="minorEastAsia" w:eastAsiaTheme="minorEastAsia"/>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年</w:t>
      </w:r>
      <w:r>
        <w:rPr>
          <w:rFonts w:hint="eastAsia" w:cs="宋体" w:asciiTheme="minorEastAsia" w:hAnsiTheme="minorEastAsia" w:eastAsiaTheme="minorEastAsia"/>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月</w:t>
      </w:r>
      <w:r>
        <w:rPr>
          <w:rFonts w:hint="eastAsia" w:cs="宋体" w:asciiTheme="minorEastAsia" w:hAnsiTheme="minorEastAsia" w:eastAsiaTheme="minorEastAsia"/>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日</w:t>
      </w:r>
      <w:r>
        <w:rPr>
          <w:rFonts w:ascii="宋体" w:hAnsi="宋体" w:cs="宋体"/>
          <w:color w:val="auto"/>
          <w:kern w:val="0"/>
          <w:sz w:val="24"/>
          <w:highlight w:val="none"/>
          <w:u w:val="single"/>
        </w:rPr>
        <w:t> </w:t>
      </w:r>
    </w:p>
    <w:p>
      <w:pPr>
        <w:widowControl/>
        <w:spacing w:line="360" w:lineRule="auto"/>
        <w:jc w:val="left"/>
        <w:rPr>
          <w:rFonts w:ascii="宋体" w:hAnsi="宋体" w:cs="宋体"/>
          <w:color w:val="auto"/>
          <w:kern w:val="0"/>
          <w:sz w:val="24"/>
          <w:highlight w:val="none"/>
        </w:rPr>
        <w:sectPr>
          <w:pgSz w:w="11906" w:h="16838"/>
          <w:pgMar w:top="1418" w:right="1418" w:bottom="1418" w:left="1418" w:header="851" w:footer="992" w:gutter="0"/>
          <w:pgNumType w:fmt="decimal"/>
          <w:cols w:space="720" w:num="1"/>
          <w:titlePg/>
          <w:docGrid w:linePitch="312" w:charSpace="0"/>
        </w:sectPr>
      </w:pP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二-2、</w:t>
      </w:r>
      <w:r>
        <w:rPr>
          <w:rFonts w:cs="宋体" w:asciiTheme="minorEastAsia" w:hAnsiTheme="minorEastAsia" w:eastAsiaTheme="minorEastAsia"/>
          <w:b/>
          <w:color w:val="auto"/>
          <w:kern w:val="0"/>
          <w:sz w:val="28"/>
          <w:szCs w:val="28"/>
          <w:highlight w:val="none"/>
        </w:rPr>
        <w:t>详细报价书</w:t>
      </w: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cs="宋体" w:asciiTheme="minorEastAsia" w:hAnsiTheme="minorEastAsia" w:eastAsiaTheme="minorEastAsia"/>
          <w:b/>
          <w:color w:val="auto"/>
          <w:kern w:val="0"/>
          <w:sz w:val="28"/>
          <w:szCs w:val="28"/>
          <w:highlight w:val="none"/>
        </w:rPr>
        <w:t> </w:t>
      </w:r>
    </w:p>
    <w:p>
      <w:pPr>
        <w:widowControl/>
        <w:spacing w:line="360" w:lineRule="auto"/>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说明：</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如果对详细报价书有统一格式要求的，可以进行规定或附表。如果没有特别要求的，则格式由供应商根据项目特点自行拟制。</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对于不能详细列明采购标的的技术、服务要求的磋商采购项目或者如优惠率磋商、单价磋商等特殊类型的磋商采购项目，由供应商根据磋商文件的具体规定和项目特点提交详细报价书，采购人如果对详细报价书有统一格式要求的，可以进行规定或附表。如果没有特别要求的，则格式由供应商根据项目特点自行拟制。</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p>
    <w:p>
      <w:pPr>
        <w:widowControl/>
        <w:spacing w:line="360" w:lineRule="auto"/>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p>
    <w:p>
      <w:pPr>
        <w:widowControl/>
        <w:spacing w:line="360" w:lineRule="auto"/>
        <w:jc w:val="left"/>
        <w:rPr>
          <w:rFonts w:ascii="宋体" w:hAnsi="宋体" w:cs="宋体"/>
          <w:color w:val="auto"/>
          <w:kern w:val="0"/>
          <w:sz w:val="24"/>
          <w:highlight w:val="none"/>
          <w:u w:val="single"/>
        </w:rPr>
      </w:pPr>
      <w:r>
        <w:rPr>
          <w:rFonts w:ascii="宋体" w:hAnsi="宋体" w:cs="宋体"/>
          <w:color w:val="auto"/>
          <w:kern w:val="0"/>
          <w:sz w:val="24"/>
          <w:highlight w:val="none"/>
        </w:rPr>
        <w:t>供应商名称（全称加盖单位公章）：</w:t>
      </w:r>
      <w:r>
        <w:rPr>
          <w:rFonts w:hint="eastAsia" w:ascii="宋体" w:hAnsi="宋体" w:cs="宋体"/>
          <w:color w:val="auto"/>
          <w:kern w:val="0"/>
          <w:sz w:val="24"/>
          <w:highlight w:val="none"/>
          <w:u w:val="single"/>
        </w:rPr>
        <w:t xml:space="preserve">                    </w:t>
      </w:r>
    </w:p>
    <w:p>
      <w:pPr>
        <w:widowControl/>
        <w:spacing w:line="360" w:lineRule="auto"/>
        <w:jc w:val="left"/>
        <w:rPr>
          <w:rFonts w:ascii="宋体" w:hAnsi="宋体" w:cs="宋体"/>
          <w:color w:val="auto"/>
          <w:kern w:val="0"/>
          <w:sz w:val="24"/>
          <w:highlight w:val="none"/>
          <w:u w:val="single"/>
        </w:rPr>
      </w:pPr>
      <w:r>
        <w:rPr>
          <w:rFonts w:ascii="宋体" w:hAnsi="宋体" w:cs="宋体"/>
          <w:color w:val="auto"/>
          <w:kern w:val="0"/>
          <w:sz w:val="24"/>
          <w:highlight w:val="none"/>
        </w:rPr>
        <w:t>供应商代表（签字）：</w:t>
      </w:r>
      <w:r>
        <w:rPr>
          <w:rFonts w:ascii="宋体" w:hAnsi="宋体" w:cs="宋体"/>
          <w:color w:val="auto"/>
          <w:kern w:val="0"/>
          <w:sz w:val="24"/>
          <w:highlight w:val="none"/>
          <w:u w:val="single"/>
        </w:rPr>
        <w:t>      </w:t>
      </w:r>
      <w:r>
        <w:rPr>
          <w:rFonts w:hint="eastAsia" w:ascii="宋体" w:hAnsi="宋体" w:cs="宋体"/>
          <w:color w:val="auto"/>
          <w:kern w:val="0"/>
          <w:sz w:val="24"/>
          <w:highlight w:val="none"/>
          <w:u w:val="single"/>
        </w:rPr>
        <w:t xml:space="preserve">                    </w:t>
      </w:r>
    </w:p>
    <w:p>
      <w:pPr>
        <w:widowControl/>
        <w:spacing w:line="360" w:lineRule="auto"/>
        <w:jc w:val="left"/>
        <w:rPr>
          <w:rFonts w:ascii="宋体" w:hAnsi="宋体" w:cs="宋体"/>
          <w:color w:val="auto"/>
          <w:kern w:val="0"/>
          <w:sz w:val="24"/>
          <w:highlight w:val="none"/>
        </w:rPr>
      </w:pPr>
      <w:r>
        <w:rPr>
          <w:rFonts w:cs="宋体" w:asciiTheme="minorEastAsia" w:hAnsiTheme="minorEastAsia" w:eastAsiaTheme="minorEastAsia"/>
          <w:color w:val="auto"/>
          <w:kern w:val="0"/>
          <w:sz w:val="24"/>
          <w:highlight w:val="none"/>
        </w:rPr>
        <w:t>日  </w:t>
      </w:r>
      <w:r>
        <w:rPr>
          <w:rFonts w:hint="eastAsia" w:cs="宋体" w:asciiTheme="minorEastAsia" w:hAnsiTheme="minorEastAsia" w:eastAsiaTheme="minorEastAsia"/>
          <w:color w:val="auto"/>
          <w:kern w:val="0"/>
          <w:sz w:val="24"/>
          <w:highlight w:val="none"/>
        </w:rPr>
        <w:t xml:space="preserve">  </w:t>
      </w:r>
      <w:r>
        <w:rPr>
          <w:rFonts w:cs="宋体" w:asciiTheme="minorEastAsia" w:hAnsiTheme="minorEastAsia" w:eastAsiaTheme="minorEastAsia"/>
          <w:color w:val="auto"/>
          <w:kern w:val="0"/>
          <w:sz w:val="24"/>
          <w:highlight w:val="none"/>
        </w:rPr>
        <w:t>期：</w:t>
      </w:r>
      <w:r>
        <w:rPr>
          <w:rFonts w:hint="eastAsia" w:cs="宋体" w:asciiTheme="minorEastAsia" w:hAnsiTheme="minorEastAsia" w:eastAsiaTheme="minorEastAsia"/>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年</w:t>
      </w:r>
      <w:r>
        <w:rPr>
          <w:rFonts w:hint="eastAsia" w:cs="宋体" w:asciiTheme="minorEastAsia" w:hAnsiTheme="minorEastAsia" w:eastAsiaTheme="minorEastAsia"/>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月</w:t>
      </w:r>
      <w:r>
        <w:rPr>
          <w:rFonts w:hint="eastAsia" w:cs="宋体" w:asciiTheme="minorEastAsia" w:hAnsiTheme="minorEastAsia" w:eastAsiaTheme="minorEastAsia"/>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日</w:t>
      </w:r>
      <w:r>
        <w:rPr>
          <w:rFonts w:ascii="宋体" w:hAnsi="宋体" w:cs="宋体"/>
          <w:color w:val="auto"/>
          <w:kern w:val="0"/>
          <w:sz w:val="24"/>
          <w:highlight w:val="none"/>
          <w:u w:val="single"/>
        </w:rPr>
        <w:t> </w:t>
      </w:r>
    </w:p>
    <w:p>
      <w:pPr>
        <w:widowControl/>
        <w:spacing w:line="360" w:lineRule="auto"/>
        <w:jc w:val="left"/>
        <w:rPr>
          <w:rFonts w:cs="宋体" w:asciiTheme="minorEastAsia" w:hAnsiTheme="minorEastAsia" w:eastAsiaTheme="minorEastAsia"/>
          <w:color w:val="auto"/>
          <w:kern w:val="0"/>
          <w:sz w:val="24"/>
          <w:highlight w:val="none"/>
        </w:rPr>
      </w:pPr>
    </w:p>
    <w:p>
      <w:pPr>
        <w:spacing w:line="360" w:lineRule="auto"/>
        <w:rPr>
          <w:rFonts w:asciiTheme="minorEastAsia" w:hAnsiTheme="minorEastAsia" w:eastAsiaTheme="minorEastAsia"/>
          <w:color w:val="auto"/>
          <w:sz w:val="24"/>
          <w:highlight w:val="none"/>
        </w:rPr>
        <w:sectPr>
          <w:pgSz w:w="11906" w:h="16838"/>
          <w:pgMar w:top="1418" w:right="1418" w:bottom="1418" w:left="1418" w:header="851" w:footer="992" w:gutter="0"/>
          <w:pgNumType w:fmt="decimal"/>
          <w:cols w:space="720" w:num="1"/>
          <w:titlePg/>
          <w:docGrid w:linePitch="312" w:charSpace="0"/>
        </w:sectPr>
      </w:pP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cs="宋体" w:asciiTheme="minorEastAsia" w:hAnsiTheme="minorEastAsia" w:eastAsiaTheme="minorEastAsia"/>
          <w:b/>
          <w:color w:val="auto"/>
          <w:kern w:val="0"/>
          <w:sz w:val="28"/>
          <w:szCs w:val="28"/>
          <w:highlight w:val="none"/>
        </w:rPr>
        <w:t>二</w:t>
      </w:r>
      <w:r>
        <w:rPr>
          <w:rFonts w:hint="eastAsia" w:cs="宋体" w:asciiTheme="minorEastAsia" w:hAnsiTheme="minorEastAsia" w:eastAsiaTheme="minorEastAsia"/>
          <w:b/>
          <w:color w:val="auto"/>
          <w:kern w:val="0"/>
          <w:sz w:val="28"/>
          <w:szCs w:val="28"/>
          <w:highlight w:val="none"/>
        </w:rPr>
        <w:t>-3</w:t>
      </w:r>
      <w:r>
        <w:rPr>
          <w:rFonts w:cs="宋体" w:asciiTheme="minorEastAsia" w:hAnsiTheme="minorEastAsia" w:eastAsiaTheme="minorEastAsia"/>
          <w:b/>
          <w:color w:val="auto"/>
          <w:kern w:val="0"/>
          <w:sz w:val="28"/>
          <w:szCs w:val="28"/>
          <w:highlight w:val="none"/>
        </w:rPr>
        <w:t>、磋商文件规定的价格扣除或加分证明材料（若有）</w:t>
      </w: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二-3-1、</w:t>
      </w:r>
      <w:r>
        <w:rPr>
          <w:rFonts w:cs="宋体" w:asciiTheme="minorEastAsia" w:hAnsiTheme="minorEastAsia" w:eastAsiaTheme="minorEastAsia"/>
          <w:b/>
          <w:color w:val="auto"/>
          <w:kern w:val="0"/>
          <w:sz w:val="28"/>
          <w:szCs w:val="28"/>
          <w:highlight w:val="none"/>
        </w:rPr>
        <w:t>小型、微型企业产品等价格扣除证明材料（若有）</w:t>
      </w: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cs="宋体" w:asciiTheme="minorEastAsia" w:hAnsiTheme="minorEastAsia" w:eastAsiaTheme="minorEastAsia"/>
          <w:b/>
          <w:color w:val="auto"/>
          <w:kern w:val="0"/>
          <w:sz w:val="28"/>
          <w:szCs w:val="28"/>
          <w:highlight w:val="none"/>
        </w:rPr>
        <w:t>中小企业声明函（价格扣除适用，若有）</w:t>
      </w:r>
    </w:p>
    <w:p>
      <w:pPr>
        <w:spacing w:beforeLines="100" w:afterLines="100"/>
        <w:jc w:val="center"/>
        <w:rPr>
          <w:rFonts w:ascii="宋体" w:hAnsi="宋体"/>
          <w:b/>
          <w:color w:val="auto"/>
          <w:spacing w:val="6"/>
          <w:sz w:val="32"/>
          <w:szCs w:val="32"/>
          <w:highlight w:val="none"/>
        </w:rPr>
      </w:pPr>
      <w:r>
        <w:rPr>
          <w:rFonts w:hint="eastAsia" w:ascii="宋体" w:hAnsi="宋体"/>
          <w:b/>
          <w:color w:val="auto"/>
          <w:spacing w:val="6"/>
          <w:sz w:val="32"/>
          <w:szCs w:val="32"/>
          <w:highlight w:val="none"/>
        </w:rPr>
        <w:t>中小企业声明函（工程）</w:t>
      </w:r>
    </w:p>
    <w:p>
      <w:pPr>
        <w:spacing w:line="360" w:lineRule="auto"/>
        <w:ind w:firstLine="480" w:firstLineChars="200"/>
        <w:rPr>
          <w:rFonts w:ascii="宋体" w:hAnsi="宋体"/>
          <w:color w:val="auto"/>
          <w:sz w:val="24"/>
          <w:szCs w:val="32"/>
          <w:highlight w:val="none"/>
        </w:rPr>
      </w:pPr>
      <w:r>
        <w:rPr>
          <w:rFonts w:hint="eastAsia" w:ascii="宋体" w:hAnsi="宋体"/>
          <w:color w:val="auto"/>
          <w:sz w:val="24"/>
          <w:szCs w:val="32"/>
          <w:highlight w:val="none"/>
        </w:rPr>
        <w:t>本公司（联合体）郑重声明，根据《政府采购促进中小企业发展管理办法》（财库〔2020〕46 号）的规定，本公司（联合体）参加【</w:t>
      </w:r>
      <w:r>
        <w:rPr>
          <w:rFonts w:hint="eastAsia" w:cs="宋体" w:asciiTheme="minorEastAsia" w:hAnsiTheme="minorEastAsia" w:eastAsiaTheme="minorEastAsia"/>
          <w:color w:val="auto"/>
          <w:kern w:val="0"/>
          <w:sz w:val="24"/>
          <w:highlight w:val="none"/>
          <w:lang w:eastAsia="zh-CN"/>
        </w:rPr>
        <w:t>厦门市民政局</w:t>
      </w:r>
      <w:r>
        <w:rPr>
          <w:rFonts w:hint="eastAsia" w:ascii="宋体" w:hAnsi="宋体"/>
          <w:color w:val="auto"/>
          <w:sz w:val="24"/>
          <w:szCs w:val="32"/>
          <w:highlight w:val="none"/>
        </w:rPr>
        <w:t>】的【政务内网建设项目】采购活动，工程的施工单位全部为符合政策要求的中小企业。相关企业（含联合体中的中小企业、签订分包意向协议的中小企业）的具体情况如下：</w:t>
      </w:r>
    </w:p>
    <w:p>
      <w:pPr>
        <w:widowControl/>
        <w:spacing w:line="360" w:lineRule="auto"/>
        <w:rPr>
          <w:rFonts w:ascii="宋体" w:hAnsi="宋体"/>
          <w:color w:val="auto"/>
          <w:sz w:val="24"/>
          <w:szCs w:val="32"/>
          <w:highlight w:val="none"/>
        </w:rPr>
      </w:pPr>
      <w:r>
        <w:rPr>
          <w:rFonts w:hint="eastAsia" w:ascii="宋体" w:hAnsi="宋体"/>
          <w:color w:val="auto"/>
          <w:sz w:val="24"/>
          <w:szCs w:val="32"/>
          <w:highlight w:val="none"/>
        </w:rPr>
        <w:t>1.【政务内网建设】，属于【</w:t>
      </w:r>
      <w:r>
        <w:rPr>
          <w:rFonts w:hint="eastAsia" w:ascii="宋体" w:hAnsi="宋体"/>
          <w:color w:val="auto"/>
          <w:sz w:val="24"/>
          <w:highlight w:val="none"/>
        </w:rPr>
        <w:t>信息技术</w:t>
      </w:r>
      <w:r>
        <w:rPr>
          <w:rFonts w:hint="eastAsia" w:ascii="宋体" w:hAnsi="宋体"/>
          <w:color w:val="auto"/>
          <w:sz w:val="24"/>
          <w:szCs w:val="32"/>
          <w:highlight w:val="none"/>
        </w:rPr>
        <w:t>】；承建企业为【  】，从业人员【】人，营业收入为【】万元，资产总额为【】万元，属于【中型企业、小型企业、微型企业】（根据情况选择一项填写）；</w:t>
      </w:r>
    </w:p>
    <w:p>
      <w:pPr>
        <w:spacing w:line="360" w:lineRule="auto"/>
        <w:ind w:firstLine="480" w:firstLineChars="200"/>
        <w:rPr>
          <w:rFonts w:ascii="宋体" w:hAnsi="宋体"/>
          <w:color w:val="auto"/>
          <w:sz w:val="24"/>
          <w:szCs w:val="32"/>
          <w:highlight w:val="none"/>
        </w:rPr>
      </w:pPr>
      <w:r>
        <w:rPr>
          <w:rFonts w:hint="eastAsia" w:ascii="宋体" w:hAnsi="宋体"/>
          <w:color w:val="auto"/>
          <w:sz w:val="24"/>
          <w:szCs w:val="32"/>
          <w:highlight w:val="none"/>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olor w:val="auto"/>
          <w:sz w:val="24"/>
          <w:szCs w:val="32"/>
          <w:highlight w:val="none"/>
        </w:rPr>
      </w:pPr>
      <w:r>
        <w:rPr>
          <w:rFonts w:hint="eastAsia" w:ascii="宋体" w:hAnsi="宋体"/>
          <w:color w:val="auto"/>
          <w:sz w:val="24"/>
          <w:szCs w:val="32"/>
          <w:highlight w:val="none"/>
        </w:rPr>
        <w:t>本企业对上述声明内容的真实性负责。如有虚假，将依法承担相应责任。</w:t>
      </w:r>
    </w:p>
    <w:p>
      <w:pPr>
        <w:ind w:firstLine="4080" w:firstLineChars="1700"/>
        <w:rPr>
          <w:rFonts w:ascii="宋体" w:hAnsi="宋体"/>
          <w:color w:val="auto"/>
          <w:sz w:val="24"/>
          <w:szCs w:val="32"/>
          <w:highlight w:val="none"/>
          <w:u w:val="single"/>
        </w:rPr>
      </w:pPr>
      <w:r>
        <w:rPr>
          <w:rFonts w:hint="eastAsia" w:ascii="宋体" w:hAnsi="宋体"/>
          <w:color w:val="auto"/>
          <w:sz w:val="24"/>
          <w:szCs w:val="32"/>
          <w:highlight w:val="none"/>
        </w:rPr>
        <w:t>企业名称（盖章）：</w:t>
      </w:r>
      <w:r>
        <w:rPr>
          <w:rFonts w:hint="eastAsia" w:ascii="宋体" w:hAnsi="宋体"/>
          <w:color w:val="auto"/>
          <w:sz w:val="24"/>
          <w:szCs w:val="32"/>
          <w:highlight w:val="none"/>
          <w:u w:val="single"/>
        </w:rPr>
        <w:t xml:space="preserve">              </w:t>
      </w:r>
    </w:p>
    <w:p>
      <w:pPr>
        <w:ind w:firstLine="4080" w:firstLineChars="1700"/>
        <w:rPr>
          <w:rFonts w:ascii="宋体" w:hAnsi="宋体"/>
          <w:color w:val="auto"/>
          <w:sz w:val="24"/>
          <w:szCs w:val="32"/>
          <w:highlight w:val="none"/>
          <w:u w:val="single"/>
        </w:rPr>
      </w:pPr>
      <w:r>
        <w:rPr>
          <w:rFonts w:hint="eastAsia" w:ascii="宋体" w:hAnsi="宋体"/>
          <w:color w:val="auto"/>
          <w:sz w:val="24"/>
          <w:szCs w:val="32"/>
          <w:highlight w:val="none"/>
        </w:rPr>
        <w:t>日期：</w:t>
      </w:r>
      <w:r>
        <w:rPr>
          <w:rFonts w:hint="eastAsia" w:ascii="宋体" w:hAnsi="宋体"/>
          <w:color w:val="auto"/>
          <w:sz w:val="24"/>
          <w:szCs w:val="32"/>
          <w:highlight w:val="none"/>
          <w:u w:val="singl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填写说明：</w:t>
      </w:r>
    </w:p>
    <w:p>
      <w:pPr>
        <w:numPr>
          <w:ilvl w:val="0"/>
          <w:numId w:val="2"/>
        </w:num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“信息技术”行业的划型标准：软件和信息技术服务业</w:t>
      </w:r>
      <w:r>
        <w:rPr>
          <w:rFonts w:hint="eastAsia" w:ascii="宋体" w:hAnsi="宋体"/>
          <w:color w:val="auto"/>
          <w:sz w:val="24"/>
          <w:highlight w:val="none"/>
          <w:lang w:eastAsia="zh-CN"/>
        </w:rPr>
        <w:t>，</w:t>
      </w:r>
      <w:r>
        <w:rPr>
          <w:rFonts w:hint="eastAsia" w:ascii="宋体" w:hAnsi="宋体"/>
          <w:color w:val="auto"/>
          <w:sz w:val="24"/>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填报的企业类型与划型标准不对应的，将可能导致不享受价格扣除。</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2、从业人员、营业收入、资产总额填报上一年度数据，无上一年度数据的新成立企业可不填报，在【】内填“\”即可。</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营业收入、资产总额应按财务审计报告上的数据填写，可填写完整数值，也可填写取整至万元的数值，如1234.56789万元可填写为1234万元。若填报的数据与供应商自己提供的上一年度财务审计报告数据有出入的，将可能导致不享受价格扣除。</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4、从业人员数量建议按企业在国家企业信用信息公示系统中填报的上一年度年报数据填写。</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5、带【】的地方都要填写，同时不得删减、更改内容，否则将可能导致不享受价格扣除。</w:t>
      </w:r>
    </w:p>
    <w:p>
      <w:pPr>
        <w:spacing w:beforeLines="100" w:afterLines="100"/>
        <w:jc w:val="center"/>
        <w:rPr>
          <w:rFonts w:ascii="宋体" w:hAnsi="宋体"/>
          <w:b/>
          <w:color w:val="auto"/>
          <w:spacing w:val="6"/>
          <w:sz w:val="32"/>
          <w:szCs w:val="32"/>
          <w:highlight w:val="none"/>
        </w:rPr>
        <w:sectPr>
          <w:pgSz w:w="11906" w:h="16838"/>
          <w:pgMar w:top="1418" w:right="1418" w:bottom="1418" w:left="1418" w:header="851" w:footer="992" w:gutter="0"/>
          <w:pgNumType w:fmt="decimal"/>
          <w:cols w:space="425" w:num="1"/>
          <w:docGrid w:type="lines" w:linePitch="312" w:charSpace="0"/>
        </w:sectPr>
      </w:pP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残疾人福利性单位声明函</w:t>
      </w: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cs="宋体" w:asciiTheme="minorEastAsia" w:hAnsiTheme="minorEastAsia" w:eastAsiaTheme="minorEastAsia"/>
          <w:b/>
          <w:color w:val="auto"/>
          <w:kern w:val="0"/>
          <w:sz w:val="28"/>
          <w:szCs w:val="28"/>
          <w:highlight w:val="none"/>
        </w:rPr>
        <w:t>（价格扣除适用，若有）</w:t>
      </w:r>
    </w:p>
    <w:p>
      <w:pPr>
        <w:spacing w:beforeLines="100" w:afterLines="100"/>
        <w:jc w:val="center"/>
        <w:rPr>
          <w:rFonts w:ascii="宋体" w:hAnsi="宋体"/>
          <w:b/>
          <w:color w:val="auto"/>
          <w:spacing w:val="6"/>
          <w:sz w:val="32"/>
          <w:szCs w:val="32"/>
          <w:highlight w:val="none"/>
        </w:rPr>
      </w:pPr>
    </w:p>
    <w:p>
      <w:pPr>
        <w:spacing w:line="360" w:lineRule="auto"/>
        <w:ind w:firstLine="504" w:firstLineChars="200"/>
        <w:rPr>
          <w:rFonts w:ascii="宋体" w:hAnsi="宋体"/>
          <w:color w:val="auto"/>
          <w:spacing w:val="6"/>
          <w:sz w:val="24"/>
          <w:szCs w:val="28"/>
          <w:highlight w:val="none"/>
        </w:rPr>
      </w:pPr>
      <w:r>
        <w:rPr>
          <w:rFonts w:hint="eastAsia" w:ascii="宋体" w:hAnsi="宋体"/>
          <w:color w:val="auto"/>
          <w:spacing w:val="6"/>
          <w:sz w:val="24"/>
          <w:szCs w:val="28"/>
          <w:highlight w:val="none"/>
        </w:rPr>
        <w:t>本单位郑重声明，根据《财政部 民政部 中国残疾人联合会关于促进残疾人就业政府采购政策的通知》（财库</w:t>
      </w:r>
      <w:r>
        <w:rPr>
          <w:rFonts w:hint="eastAsia" w:ascii="宋体" w:hAnsi="宋体"/>
          <w:color w:val="auto"/>
          <w:sz w:val="24"/>
          <w:szCs w:val="28"/>
          <w:highlight w:val="none"/>
        </w:rPr>
        <w:t>〔2017〕 141</w:t>
      </w:r>
      <w:r>
        <w:rPr>
          <w:rFonts w:hint="eastAsia" w:ascii="宋体" w:hAnsi="宋体"/>
          <w:color w:val="auto"/>
          <w:spacing w:val="6"/>
          <w:sz w:val="24"/>
          <w:szCs w:val="28"/>
          <w:highlight w:val="none"/>
        </w:rPr>
        <w:t>号）的规定，本单位为符合条件的残疾人福利性单位，且本单位参加</w:t>
      </w:r>
      <w:r>
        <w:rPr>
          <w:rFonts w:hint="eastAsia" w:ascii="宋体" w:hAnsi="宋体"/>
          <w:color w:val="auto"/>
          <w:spacing w:val="6"/>
          <w:sz w:val="24"/>
          <w:szCs w:val="28"/>
          <w:highlight w:val="none"/>
          <w:u w:val="single"/>
        </w:rPr>
        <w:t>______</w:t>
      </w:r>
      <w:r>
        <w:rPr>
          <w:rFonts w:hint="eastAsia" w:ascii="宋体" w:hAnsi="宋体"/>
          <w:color w:val="auto"/>
          <w:spacing w:val="6"/>
          <w:sz w:val="24"/>
          <w:szCs w:val="28"/>
          <w:highlight w:val="none"/>
        </w:rPr>
        <w:t>单位的</w:t>
      </w:r>
      <w:r>
        <w:rPr>
          <w:rFonts w:hint="eastAsia" w:ascii="宋体" w:hAnsi="宋体"/>
          <w:color w:val="auto"/>
          <w:spacing w:val="6"/>
          <w:sz w:val="24"/>
          <w:szCs w:val="28"/>
          <w:highlight w:val="none"/>
          <w:u w:val="single"/>
        </w:rPr>
        <w:t>______</w:t>
      </w:r>
      <w:r>
        <w:rPr>
          <w:rFonts w:hint="eastAsia" w:ascii="宋体" w:hAnsi="宋体"/>
          <w:color w:val="auto"/>
          <w:spacing w:val="6"/>
          <w:sz w:val="24"/>
          <w:szCs w:val="28"/>
          <w:highlight w:val="none"/>
        </w:rPr>
        <w:t>项目采购活动：</w:t>
      </w:r>
    </w:p>
    <w:p>
      <w:pPr>
        <w:spacing w:line="360" w:lineRule="auto"/>
        <w:ind w:firstLine="504" w:firstLineChars="200"/>
        <w:rPr>
          <w:rFonts w:ascii="宋体" w:hAnsi="宋体"/>
          <w:color w:val="auto"/>
          <w:spacing w:val="6"/>
          <w:sz w:val="24"/>
          <w:szCs w:val="28"/>
          <w:highlight w:val="none"/>
        </w:rPr>
      </w:pPr>
      <w:r>
        <w:rPr>
          <w:rFonts w:hint="eastAsia" w:ascii="宋体" w:hAnsi="宋体"/>
          <w:color w:val="auto"/>
          <w:spacing w:val="6"/>
          <w:sz w:val="24"/>
          <w:szCs w:val="28"/>
          <w:highlight w:val="none"/>
        </w:rPr>
        <w:t>（）提供本单位制造的（填写“所投合同包、品目号”）货物，或提供其他残疾人福利性单位制造的（填写“所投合同包、品目号”）货物（不包括使用非残疾人福利性单位注册商标的货物）。</w:t>
      </w:r>
    </w:p>
    <w:p>
      <w:pPr>
        <w:spacing w:line="360" w:lineRule="auto"/>
        <w:ind w:firstLine="504" w:firstLineChars="200"/>
        <w:rPr>
          <w:rFonts w:ascii="宋体" w:hAnsi="宋体"/>
          <w:color w:val="auto"/>
          <w:spacing w:val="6"/>
          <w:sz w:val="24"/>
          <w:szCs w:val="28"/>
          <w:highlight w:val="none"/>
        </w:rPr>
      </w:pPr>
      <w:r>
        <w:rPr>
          <w:rFonts w:hint="eastAsia" w:ascii="宋体" w:hAnsi="宋体"/>
          <w:color w:val="auto"/>
          <w:spacing w:val="6"/>
          <w:sz w:val="24"/>
          <w:szCs w:val="28"/>
          <w:highlight w:val="none"/>
        </w:rPr>
        <w:t>（）由本单位承建的（填写“所投合同包、品目号”）工程。</w:t>
      </w:r>
    </w:p>
    <w:p>
      <w:pPr>
        <w:spacing w:line="360" w:lineRule="auto"/>
        <w:ind w:firstLine="504" w:firstLineChars="200"/>
        <w:rPr>
          <w:rFonts w:ascii="宋体" w:hAnsi="宋体"/>
          <w:color w:val="auto"/>
          <w:spacing w:val="6"/>
          <w:sz w:val="24"/>
          <w:szCs w:val="28"/>
          <w:highlight w:val="none"/>
        </w:rPr>
      </w:pPr>
      <w:r>
        <w:rPr>
          <w:rFonts w:hint="eastAsia" w:ascii="宋体" w:hAnsi="宋体"/>
          <w:color w:val="auto"/>
          <w:spacing w:val="6"/>
          <w:sz w:val="24"/>
          <w:szCs w:val="28"/>
          <w:highlight w:val="none"/>
        </w:rPr>
        <w:t>（）由本单位承接的（填写“所投合同包、品目号”）服务。</w:t>
      </w:r>
    </w:p>
    <w:p>
      <w:pPr>
        <w:spacing w:line="360" w:lineRule="auto"/>
        <w:ind w:firstLine="504" w:firstLineChars="200"/>
        <w:rPr>
          <w:rFonts w:ascii="宋体" w:hAnsi="宋体"/>
          <w:color w:val="auto"/>
          <w:spacing w:val="6"/>
          <w:sz w:val="24"/>
          <w:szCs w:val="28"/>
          <w:highlight w:val="none"/>
        </w:rPr>
      </w:pPr>
      <w:r>
        <w:rPr>
          <w:rFonts w:hint="eastAsia" w:ascii="宋体" w:hAnsi="宋体"/>
          <w:color w:val="auto"/>
          <w:spacing w:val="6"/>
          <w:sz w:val="24"/>
          <w:szCs w:val="28"/>
          <w:highlight w:val="none"/>
        </w:rPr>
        <w:t>本单位对上述声明的真实性负责。如有虚假，将依法承担相应责任。</w:t>
      </w:r>
    </w:p>
    <w:p>
      <w:pPr>
        <w:spacing w:line="360" w:lineRule="auto"/>
        <w:ind w:firstLine="504" w:firstLineChars="200"/>
        <w:rPr>
          <w:rFonts w:ascii="宋体" w:hAnsi="宋体"/>
          <w:color w:val="auto"/>
          <w:spacing w:val="6"/>
          <w:sz w:val="24"/>
          <w:szCs w:val="28"/>
          <w:highlight w:val="none"/>
        </w:rPr>
      </w:pPr>
    </w:p>
    <w:p>
      <w:pPr>
        <w:spacing w:line="360" w:lineRule="auto"/>
        <w:ind w:firstLine="504" w:firstLineChars="200"/>
        <w:rPr>
          <w:rFonts w:ascii="宋体" w:hAnsi="宋体"/>
          <w:color w:val="auto"/>
          <w:spacing w:val="6"/>
          <w:sz w:val="24"/>
          <w:szCs w:val="28"/>
          <w:highlight w:val="none"/>
        </w:rPr>
      </w:pPr>
    </w:p>
    <w:p>
      <w:pPr>
        <w:tabs>
          <w:tab w:val="left" w:pos="4860"/>
        </w:tabs>
        <w:spacing w:line="360" w:lineRule="auto"/>
        <w:ind w:right="-2" w:firstLine="504" w:firstLineChars="200"/>
        <w:jc w:val="center"/>
        <w:rPr>
          <w:rFonts w:ascii="宋体" w:hAnsi="宋体"/>
          <w:color w:val="auto"/>
          <w:spacing w:val="6"/>
          <w:sz w:val="24"/>
          <w:szCs w:val="28"/>
          <w:highlight w:val="none"/>
          <w:u w:val="single"/>
        </w:rPr>
      </w:pPr>
      <w:r>
        <w:rPr>
          <w:rFonts w:hint="eastAsia" w:ascii="宋体" w:hAnsi="宋体"/>
          <w:color w:val="auto"/>
          <w:spacing w:val="6"/>
          <w:sz w:val="24"/>
          <w:szCs w:val="28"/>
          <w:highlight w:val="none"/>
        </w:rPr>
        <w:t xml:space="preserve">         单位名称（盖章）：</w:t>
      </w:r>
      <w:r>
        <w:rPr>
          <w:rFonts w:hint="eastAsia" w:ascii="宋体" w:hAnsi="宋体"/>
          <w:color w:val="auto"/>
          <w:spacing w:val="6"/>
          <w:sz w:val="24"/>
          <w:szCs w:val="28"/>
          <w:highlight w:val="none"/>
          <w:u w:val="single"/>
        </w:rPr>
        <w:t xml:space="preserve">             </w:t>
      </w:r>
    </w:p>
    <w:p>
      <w:pPr>
        <w:tabs>
          <w:tab w:val="left" w:pos="4860"/>
        </w:tabs>
        <w:spacing w:line="360" w:lineRule="auto"/>
        <w:ind w:right="-2" w:firstLine="4158" w:firstLineChars="1650"/>
        <w:rPr>
          <w:rFonts w:ascii="宋体" w:hAnsi="宋体"/>
          <w:color w:val="auto"/>
          <w:spacing w:val="6"/>
          <w:sz w:val="24"/>
          <w:szCs w:val="28"/>
          <w:highlight w:val="none"/>
          <w:u w:val="single"/>
        </w:rPr>
      </w:pPr>
      <w:r>
        <w:rPr>
          <w:rFonts w:hint="eastAsia" w:ascii="宋体" w:hAnsi="宋体"/>
          <w:color w:val="auto"/>
          <w:spacing w:val="6"/>
          <w:sz w:val="24"/>
          <w:szCs w:val="28"/>
          <w:highlight w:val="none"/>
        </w:rPr>
        <w:t xml:space="preserve"> 日  期：</w:t>
      </w:r>
      <w:r>
        <w:rPr>
          <w:rFonts w:hint="eastAsia" w:ascii="宋体" w:hAnsi="宋体"/>
          <w:color w:val="auto"/>
          <w:spacing w:val="6"/>
          <w:sz w:val="24"/>
          <w:szCs w:val="28"/>
          <w:highlight w:val="none"/>
          <w:u w:val="single"/>
        </w:rPr>
        <w:t xml:space="preserve">                        </w:t>
      </w:r>
    </w:p>
    <w:p>
      <w:pPr>
        <w:spacing w:line="360" w:lineRule="auto"/>
        <w:rPr>
          <w:rFonts w:ascii="宋体" w:hAnsi="宋体"/>
          <w:color w:val="auto"/>
          <w:sz w:val="24"/>
          <w:szCs w:val="28"/>
          <w:highlight w:val="none"/>
        </w:rPr>
      </w:pPr>
    </w:p>
    <w:p>
      <w:pPr>
        <w:widowControl/>
        <w:spacing w:before="100" w:beforeAutospacing="1" w:after="100" w:afterAutospacing="1"/>
        <w:jc w:val="left"/>
        <w:rPr>
          <w:rFonts w:ascii="宋体" w:hAnsi="宋体"/>
          <w:color w:val="auto"/>
          <w:sz w:val="24"/>
          <w:szCs w:val="28"/>
          <w:highlight w:val="none"/>
        </w:rPr>
      </w:pPr>
      <w:r>
        <w:rPr>
          <w:rFonts w:hint="eastAsia" w:ascii="宋体" w:hAnsi="宋体"/>
          <w:color w:val="auto"/>
          <w:sz w:val="24"/>
          <w:szCs w:val="28"/>
          <w:highlight w:val="none"/>
        </w:rPr>
        <w:t>注：请供应商按照实际情况编制填写本声明函，并在相应的（）中打“√”。</w:t>
      </w:r>
    </w:p>
    <w:p>
      <w:pPr>
        <w:rPr>
          <w:color w:val="auto"/>
          <w:kern w:val="0"/>
          <w:highlight w:val="none"/>
        </w:rPr>
        <w:sectPr>
          <w:pgSz w:w="11906" w:h="16838"/>
          <w:pgMar w:top="1418" w:right="1418" w:bottom="1418" w:left="1418" w:header="851" w:footer="992" w:gutter="0"/>
          <w:pgNumType w:fmt="decimal"/>
          <w:cols w:space="720" w:num="1"/>
          <w:titlePg/>
          <w:docGrid w:linePitch="312" w:charSpace="0"/>
        </w:sectPr>
      </w:pPr>
      <w:r>
        <w:rPr>
          <w:color w:val="auto"/>
          <w:kern w:val="0"/>
          <w:highlight w:val="none"/>
        </w:rPr>
        <w:t> </w:t>
      </w: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三、</w:t>
      </w:r>
      <w:r>
        <w:rPr>
          <w:rFonts w:cs="宋体" w:asciiTheme="minorEastAsia" w:hAnsiTheme="minorEastAsia" w:eastAsiaTheme="minorEastAsia"/>
          <w:b/>
          <w:color w:val="auto"/>
          <w:kern w:val="0"/>
          <w:sz w:val="28"/>
          <w:szCs w:val="28"/>
          <w:highlight w:val="none"/>
        </w:rPr>
        <w:t>资格证明文件</w:t>
      </w: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三-1、</w:t>
      </w:r>
      <w:r>
        <w:rPr>
          <w:rFonts w:cs="宋体" w:asciiTheme="minorEastAsia" w:hAnsiTheme="minorEastAsia" w:eastAsiaTheme="minorEastAsia"/>
          <w:b/>
          <w:color w:val="auto"/>
          <w:kern w:val="0"/>
          <w:sz w:val="28"/>
          <w:szCs w:val="28"/>
          <w:highlight w:val="none"/>
        </w:rPr>
        <w:t>供应商的资格声明</w:t>
      </w:r>
    </w:p>
    <w:p>
      <w:pPr>
        <w:widowControl/>
        <w:spacing w:line="360" w:lineRule="auto"/>
        <w:ind w:firstLine="480" w:firstLineChars="200"/>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p>
    <w:p>
      <w:pPr>
        <w:widowControl/>
        <w:spacing w:line="360" w:lineRule="auto"/>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致：</w:t>
      </w:r>
      <w:r>
        <w:rPr>
          <w:rFonts w:cs="宋体" w:asciiTheme="minorEastAsia" w:hAnsiTheme="minorEastAsia" w:eastAsiaTheme="minorEastAsia"/>
          <w:color w:val="auto"/>
          <w:kern w:val="0"/>
          <w:sz w:val="24"/>
          <w:highlight w:val="none"/>
          <w:u w:val="single"/>
        </w:rPr>
        <w:t>   </w:t>
      </w:r>
      <w:r>
        <w:rPr>
          <w:rFonts w:hint="eastAsia" w:cs="宋体" w:asciiTheme="minorEastAsia" w:hAnsiTheme="minorEastAsia" w:eastAsiaTheme="minorEastAsia"/>
          <w:color w:val="auto"/>
          <w:kern w:val="0"/>
          <w:sz w:val="24"/>
          <w:highlight w:val="none"/>
          <w:u w:val="single"/>
        </w:rPr>
        <w:t>（</w:t>
      </w:r>
      <w:r>
        <w:rPr>
          <w:rFonts w:cs="宋体" w:asciiTheme="minorEastAsia" w:hAnsiTheme="minorEastAsia" w:eastAsiaTheme="minorEastAsia"/>
          <w:color w:val="auto"/>
          <w:kern w:val="0"/>
          <w:sz w:val="24"/>
          <w:highlight w:val="none"/>
          <w:u w:val="single"/>
        </w:rPr>
        <w:t>采购人</w:t>
      </w:r>
      <w:r>
        <w:rPr>
          <w:rFonts w:hint="eastAsia" w:cs="宋体" w:asciiTheme="minorEastAsia" w:hAnsiTheme="minorEastAsia" w:eastAsiaTheme="minorEastAsia"/>
          <w:color w:val="auto"/>
          <w:kern w:val="0"/>
          <w:sz w:val="24"/>
          <w:highlight w:val="none"/>
          <w:u w:val="single"/>
        </w:rPr>
        <w:t>）</w:t>
      </w:r>
      <w:r>
        <w:rPr>
          <w:rFonts w:cs="宋体" w:asciiTheme="minorEastAsia" w:hAnsiTheme="minorEastAsia" w:eastAsiaTheme="minorEastAsia"/>
          <w:color w:val="auto"/>
          <w:kern w:val="0"/>
          <w:sz w:val="24"/>
          <w:highlight w:val="none"/>
          <w:u w:val="single"/>
        </w:rPr>
        <w:t>  </w:t>
      </w:r>
    </w:p>
    <w:p>
      <w:pPr>
        <w:widowControl/>
        <w:spacing w:line="360" w:lineRule="auto"/>
        <w:ind w:firstLine="480" w:firstLineChars="200"/>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kern w:val="0"/>
          <w:sz w:val="24"/>
          <w:highlight w:val="none"/>
        </w:rPr>
        <w:t>1、</w:t>
      </w:r>
      <w:r>
        <w:rPr>
          <w:rFonts w:cs="宋体" w:asciiTheme="minorEastAsia" w:hAnsiTheme="minorEastAsia" w:eastAsiaTheme="minorEastAsia"/>
          <w:color w:val="auto"/>
          <w:kern w:val="0"/>
          <w:sz w:val="24"/>
          <w:highlight w:val="none"/>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40"/>
        <w:tblW w:w="8864" w:type="dxa"/>
        <w:jc w:val="center"/>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autofit"/>
        <w:tblCellMar>
          <w:top w:w="15" w:type="dxa"/>
          <w:left w:w="15" w:type="dxa"/>
          <w:bottom w:w="15" w:type="dxa"/>
          <w:right w:w="15" w:type="dxa"/>
        </w:tblCellMar>
      </w:tblPr>
      <w:tblGrid>
        <w:gridCol w:w="5881"/>
        <w:gridCol w:w="2983"/>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对供应商的要求</w:t>
            </w:r>
          </w:p>
        </w:tc>
        <w:tc>
          <w:tcPr>
            <w:tcW w:w="2983"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供应商对是否符合要求做如实声明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（1）具有独立承担民事责任的能力</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（2）具有良好的商业信誉和健全的财务会计制度</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（3）具有履行合同所必需的设备和专业技术能力</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（4）有依法缴纳税收和社会保障资金的良好记录</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5</w:t>
            </w:r>
            <w:r>
              <w:rPr>
                <w:rFonts w:cs="宋体" w:asciiTheme="minorEastAsia" w:hAnsiTheme="minorEastAsia" w:eastAsiaTheme="minorEastAsia"/>
                <w:color w:val="auto"/>
                <w:kern w:val="0"/>
                <w:sz w:val="24"/>
                <w:highlight w:val="none"/>
              </w:rPr>
              <w:t>）法律、行政法规规定的其他条件。</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磋商文件对合格供应商的一般规定</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供应商对是否违反一般规定做如实声明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供应商应当遵守中国的有关法律、法规和规章的规定，参加采购活动时已经自觉检查并按照相关法律规定，主动回避相应利害关系。</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jc w:val="center"/>
        </w:trPr>
        <w:tc>
          <w:tcPr>
            <w:tcW w:w="5881"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为采购项目提供整体设计、规范编制或项目管理、监理、检测等服务的供应商，不得再参加该采购项目除整体设计、规范编制和项目管理、监理、检测等服务之外的其他采购活动。</w:t>
            </w:r>
          </w:p>
        </w:tc>
        <w:tc>
          <w:tcPr>
            <w:tcW w:w="298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widowControl/>
              <w:spacing w:line="360" w:lineRule="auto"/>
              <w:jc w:val="center"/>
              <w:rPr>
                <w:rFonts w:cs="宋体" w:asciiTheme="minorEastAsia" w:hAnsiTheme="minorEastAsia" w:eastAsiaTheme="minorEastAsia"/>
                <w:color w:val="auto"/>
                <w:kern w:val="0"/>
                <w:sz w:val="24"/>
                <w:highlight w:val="none"/>
              </w:rPr>
            </w:pPr>
          </w:p>
        </w:tc>
      </w:tr>
    </w:tbl>
    <w:p>
      <w:pPr>
        <w:widowControl/>
        <w:spacing w:line="360" w:lineRule="auto"/>
        <w:ind w:firstLine="480" w:firstLineChars="200"/>
        <w:rPr>
          <w:rFonts w:cs="宋体" w:asciiTheme="minorEastAsia" w:hAnsiTheme="minorEastAsia" w:eastAsiaTheme="minorEastAsia"/>
          <w:bCs/>
          <w:color w:val="auto"/>
          <w:kern w:val="0"/>
          <w:sz w:val="24"/>
          <w:highlight w:val="none"/>
        </w:rPr>
      </w:pPr>
      <w:r>
        <w:rPr>
          <w:rFonts w:cs="宋体" w:asciiTheme="minorEastAsia" w:hAnsiTheme="minorEastAsia" w:eastAsiaTheme="minorEastAsia"/>
          <w:bCs/>
          <w:color w:val="auto"/>
          <w:kern w:val="0"/>
          <w:sz w:val="24"/>
          <w:highlight w:val="none"/>
        </w:rPr>
        <w:t>2、我方对上述声明的真实性、合法性、准确性、有效性负责，并愿意根据磋商文件和磋商过程中贵方要求提供全部现有资料、数据、文件等予以证实。</w:t>
      </w:r>
    </w:p>
    <w:p>
      <w:pPr>
        <w:widowControl/>
        <w:spacing w:line="360" w:lineRule="auto"/>
        <w:ind w:firstLine="480" w:firstLineChars="200"/>
        <w:rPr>
          <w:rFonts w:cs="宋体" w:asciiTheme="minorEastAsia" w:hAnsiTheme="minorEastAsia" w:eastAsiaTheme="minorEastAsia"/>
          <w:bCs/>
          <w:color w:val="auto"/>
          <w:kern w:val="0"/>
          <w:sz w:val="24"/>
          <w:highlight w:val="none"/>
        </w:rPr>
      </w:pPr>
      <w:r>
        <w:rPr>
          <w:rFonts w:cs="宋体" w:asciiTheme="minorEastAsia" w:hAnsiTheme="minorEastAsia" w:eastAsiaTheme="minorEastAsia"/>
          <w:bCs/>
          <w:color w:val="auto"/>
          <w:kern w:val="0"/>
          <w:sz w:val="24"/>
          <w:highlight w:val="none"/>
        </w:rPr>
        <w:t>备注：对于接受联合体形式的磋商且供应商是联合体的，则联合体各成员都应当提交本资格证明文件。</w:t>
      </w:r>
    </w:p>
    <w:p>
      <w:pPr>
        <w:widowControl/>
        <w:spacing w:line="360" w:lineRule="auto"/>
        <w:ind w:firstLine="480" w:firstLineChars="200"/>
        <w:rPr>
          <w:rFonts w:cs="宋体" w:asciiTheme="minorEastAsia" w:hAnsiTheme="minorEastAsia" w:eastAsiaTheme="minorEastAsia"/>
          <w:bCs/>
          <w:color w:val="auto"/>
          <w:kern w:val="0"/>
          <w:sz w:val="24"/>
          <w:highlight w:val="none"/>
        </w:rPr>
      </w:pPr>
    </w:p>
    <w:p>
      <w:pPr>
        <w:widowControl/>
        <w:spacing w:line="360" w:lineRule="auto"/>
        <w:ind w:firstLine="480" w:firstLineChars="200"/>
        <w:rPr>
          <w:rFonts w:cs="宋体" w:asciiTheme="minorEastAsia" w:hAnsiTheme="minorEastAsia" w:eastAsiaTheme="minorEastAsia"/>
          <w:bCs/>
          <w:color w:val="auto"/>
          <w:kern w:val="0"/>
          <w:sz w:val="24"/>
          <w:highlight w:val="none"/>
        </w:rPr>
      </w:pPr>
    </w:p>
    <w:p>
      <w:pPr>
        <w:widowControl/>
        <w:spacing w:line="360" w:lineRule="auto"/>
        <w:jc w:val="left"/>
        <w:rPr>
          <w:rFonts w:ascii="宋体" w:hAnsi="宋体" w:cs="宋体"/>
          <w:color w:val="auto"/>
          <w:kern w:val="0"/>
          <w:sz w:val="24"/>
          <w:highlight w:val="none"/>
          <w:u w:val="single"/>
        </w:rPr>
      </w:pPr>
      <w:r>
        <w:rPr>
          <w:rFonts w:ascii="宋体" w:hAnsi="宋体" w:cs="宋体"/>
          <w:color w:val="auto"/>
          <w:kern w:val="0"/>
          <w:sz w:val="24"/>
          <w:highlight w:val="none"/>
        </w:rPr>
        <w:t>供应商名称（全称加盖单位公章）：</w:t>
      </w:r>
      <w:r>
        <w:rPr>
          <w:rFonts w:hint="eastAsia" w:ascii="宋体" w:hAnsi="宋体" w:cs="宋体"/>
          <w:color w:val="auto"/>
          <w:kern w:val="0"/>
          <w:sz w:val="24"/>
          <w:highlight w:val="none"/>
          <w:u w:val="single"/>
        </w:rPr>
        <w:t xml:space="preserve">                  </w:t>
      </w:r>
    </w:p>
    <w:p>
      <w:pPr>
        <w:widowControl/>
        <w:spacing w:line="360" w:lineRule="auto"/>
        <w:jc w:val="left"/>
        <w:rPr>
          <w:rFonts w:ascii="宋体" w:hAnsi="宋体" w:cs="宋体"/>
          <w:color w:val="auto"/>
          <w:kern w:val="0"/>
          <w:sz w:val="24"/>
          <w:highlight w:val="none"/>
          <w:u w:val="single"/>
        </w:rPr>
      </w:pPr>
      <w:r>
        <w:rPr>
          <w:rFonts w:ascii="宋体" w:hAnsi="宋体" w:cs="宋体"/>
          <w:color w:val="auto"/>
          <w:kern w:val="0"/>
          <w:sz w:val="24"/>
          <w:highlight w:val="none"/>
        </w:rPr>
        <w:t>供应商代表（签字）：</w:t>
      </w:r>
      <w:r>
        <w:rPr>
          <w:rFonts w:ascii="宋体" w:hAnsi="宋体" w:cs="宋体"/>
          <w:color w:val="auto"/>
          <w:kern w:val="0"/>
          <w:sz w:val="24"/>
          <w:highlight w:val="none"/>
          <w:u w:val="single"/>
        </w:rPr>
        <w:t>      </w:t>
      </w:r>
      <w:r>
        <w:rPr>
          <w:rFonts w:hint="eastAsia" w:ascii="宋体" w:hAnsi="宋体" w:cs="宋体"/>
          <w:color w:val="auto"/>
          <w:kern w:val="0"/>
          <w:sz w:val="24"/>
          <w:highlight w:val="none"/>
          <w:u w:val="single"/>
        </w:rPr>
        <w:t xml:space="preserve">                           </w:t>
      </w:r>
    </w:p>
    <w:p>
      <w:pPr>
        <w:widowControl/>
        <w:spacing w:before="50" w:after="50" w:line="250" w:lineRule="atLeast"/>
        <w:jc w:val="left"/>
        <w:rPr>
          <w:rFonts w:ascii="宋体" w:hAnsi="宋体" w:cs="宋体"/>
          <w:color w:val="auto"/>
          <w:kern w:val="0"/>
          <w:sz w:val="24"/>
          <w:highlight w:val="none"/>
          <w:u w:val="single"/>
        </w:rPr>
      </w:pPr>
      <w:r>
        <w:rPr>
          <w:rFonts w:cs="宋体" w:asciiTheme="minorEastAsia" w:hAnsiTheme="minorEastAsia" w:eastAsiaTheme="minorEastAsia"/>
          <w:color w:val="auto"/>
          <w:kern w:val="0"/>
          <w:sz w:val="24"/>
          <w:highlight w:val="none"/>
        </w:rPr>
        <w:t>日  </w:t>
      </w:r>
      <w:r>
        <w:rPr>
          <w:rFonts w:hint="eastAsia" w:cs="宋体" w:asciiTheme="minorEastAsia" w:hAnsiTheme="minorEastAsia" w:eastAsiaTheme="minorEastAsia"/>
          <w:color w:val="auto"/>
          <w:kern w:val="0"/>
          <w:sz w:val="24"/>
          <w:highlight w:val="none"/>
        </w:rPr>
        <w:t xml:space="preserve">  </w:t>
      </w:r>
      <w:r>
        <w:rPr>
          <w:rFonts w:cs="宋体" w:asciiTheme="minorEastAsia" w:hAnsiTheme="minorEastAsia" w:eastAsiaTheme="minorEastAsia"/>
          <w:color w:val="auto"/>
          <w:kern w:val="0"/>
          <w:sz w:val="24"/>
          <w:highlight w:val="none"/>
        </w:rPr>
        <w:t>期：</w:t>
      </w:r>
      <w:r>
        <w:rPr>
          <w:rFonts w:hint="eastAsia" w:cs="宋体" w:asciiTheme="minorEastAsia" w:hAnsiTheme="minorEastAsia" w:eastAsiaTheme="minorEastAsia"/>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年</w:t>
      </w:r>
      <w:r>
        <w:rPr>
          <w:rFonts w:hint="eastAsia" w:cs="宋体" w:asciiTheme="minorEastAsia" w:hAnsiTheme="minorEastAsia" w:eastAsiaTheme="minorEastAsia"/>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月</w:t>
      </w:r>
      <w:r>
        <w:rPr>
          <w:rFonts w:hint="eastAsia" w:cs="宋体" w:asciiTheme="minorEastAsia" w:hAnsiTheme="minorEastAsia" w:eastAsiaTheme="minorEastAsia"/>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日</w:t>
      </w:r>
      <w:r>
        <w:rPr>
          <w:rFonts w:ascii="宋体" w:hAnsi="宋体" w:cs="宋体"/>
          <w:color w:val="auto"/>
          <w:kern w:val="0"/>
          <w:sz w:val="24"/>
          <w:highlight w:val="none"/>
          <w:u w:val="single"/>
        </w:rPr>
        <w:t> </w:t>
      </w:r>
    </w:p>
    <w:p>
      <w:pPr>
        <w:widowControl/>
        <w:spacing w:before="50" w:after="50" w:line="250" w:lineRule="atLeast"/>
        <w:jc w:val="left"/>
        <w:rPr>
          <w:rFonts w:ascii="宋体" w:hAnsi="宋体" w:cs="宋体"/>
          <w:color w:val="auto"/>
          <w:kern w:val="0"/>
          <w:sz w:val="24"/>
          <w:highlight w:val="none"/>
        </w:rPr>
        <w:sectPr>
          <w:pgSz w:w="11906" w:h="16838"/>
          <w:pgMar w:top="1418" w:right="1418" w:bottom="1418" w:left="1418" w:header="851" w:footer="992" w:gutter="0"/>
          <w:pgNumType w:fmt="decimal"/>
          <w:cols w:space="720" w:num="1"/>
          <w:titlePg/>
          <w:docGrid w:linePitch="312" w:charSpace="0"/>
        </w:sectPr>
      </w:pP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三-2、</w:t>
      </w:r>
      <w:r>
        <w:rPr>
          <w:rFonts w:cs="宋体" w:asciiTheme="minorEastAsia" w:hAnsiTheme="minorEastAsia" w:eastAsiaTheme="minorEastAsia"/>
          <w:b/>
          <w:color w:val="auto"/>
          <w:kern w:val="0"/>
          <w:sz w:val="28"/>
          <w:szCs w:val="28"/>
          <w:highlight w:val="none"/>
        </w:rPr>
        <w:t>营业执照等证明文件</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Calibri" w:asciiTheme="minorEastAsia" w:hAnsiTheme="minorEastAsia" w:eastAsiaTheme="minorEastAsia"/>
          <w:color w:val="auto"/>
          <w:kern w:val="0"/>
          <w:sz w:val="24"/>
          <w:highlight w:val="none"/>
        </w:rPr>
        <w:t> </w:t>
      </w:r>
    </w:p>
    <w:p>
      <w:pPr>
        <w:widowControl/>
        <w:spacing w:line="360" w:lineRule="auto"/>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致：</w:t>
      </w:r>
      <w:r>
        <w:rPr>
          <w:rFonts w:cs="宋体" w:asciiTheme="minorEastAsia" w:hAnsiTheme="minorEastAsia" w:eastAsiaTheme="minorEastAsia"/>
          <w:color w:val="auto"/>
          <w:kern w:val="0"/>
          <w:sz w:val="24"/>
          <w:highlight w:val="none"/>
          <w:u w:val="singl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r>
        <w:rPr>
          <w:rFonts w:hint="eastAsia" w:cs="宋体" w:asciiTheme="minorEastAsia" w:hAnsiTheme="minorEastAsia" w:eastAsiaTheme="minorEastAsia"/>
          <w:color w:val="auto"/>
          <w:kern w:val="0"/>
          <w:sz w:val="24"/>
          <w:highlight w:val="none"/>
        </w:rPr>
        <w:t>供应商</w:t>
      </w:r>
      <w:r>
        <w:rPr>
          <w:rFonts w:cs="宋体" w:asciiTheme="minorEastAsia" w:hAnsiTheme="minorEastAsia" w:eastAsiaTheme="minorEastAsia"/>
          <w:color w:val="auto"/>
          <w:kern w:val="0"/>
          <w:sz w:val="24"/>
          <w:highlight w:val="none"/>
        </w:rPr>
        <w:t>为法人（包括企业、事业单位和社会团体）的</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现附上由</w:t>
      </w:r>
      <w:r>
        <w:rPr>
          <w:rFonts w:cs="宋体" w:asciiTheme="minorEastAsia" w:hAnsiTheme="minorEastAsia" w:eastAsiaTheme="minorEastAsia"/>
          <w:color w:val="auto"/>
          <w:kern w:val="0"/>
          <w:sz w:val="24"/>
          <w:highlight w:val="none"/>
          <w:u w:val="single"/>
        </w:rPr>
        <w:t>（填写“签发机关全称”）</w:t>
      </w:r>
      <w:r>
        <w:rPr>
          <w:rFonts w:cs="宋体" w:asciiTheme="minorEastAsia" w:hAnsiTheme="minorEastAsia" w:eastAsiaTheme="minorEastAsia"/>
          <w:color w:val="auto"/>
          <w:kern w:val="0"/>
          <w:sz w:val="24"/>
          <w:highlight w:val="none"/>
        </w:rPr>
        <w:t>签发的我方统一社会信用代码</w:t>
      </w:r>
      <w:r>
        <w:rPr>
          <w:rFonts w:cs="宋体" w:asciiTheme="minorEastAsia" w:hAnsiTheme="minorEastAsia" w:eastAsiaTheme="minorEastAsia"/>
          <w:color w:val="auto"/>
          <w:kern w:val="0"/>
          <w:sz w:val="24"/>
          <w:highlight w:val="none"/>
          <w:u w:val="single"/>
        </w:rPr>
        <w:t>（请填写法人的具体证照名称）</w:t>
      </w:r>
      <w:r>
        <w:rPr>
          <w:rFonts w:cs="宋体" w:asciiTheme="minorEastAsia" w:hAnsiTheme="minorEastAsia" w:eastAsiaTheme="minorEastAsia"/>
          <w:color w:val="auto"/>
          <w:kern w:val="0"/>
          <w:sz w:val="24"/>
          <w:highlight w:val="none"/>
        </w:rPr>
        <w:t>复印件，该证明材料真实有效，否则我方负全部责任。</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r>
        <w:rPr>
          <w:rFonts w:hint="eastAsia" w:cs="宋体" w:asciiTheme="minorEastAsia" w:hAnsiTheme="minorEastAsia" w:eastAsiaTheme="minorEastAsia"/>
          <w:color w:val="auto"/>
          <w:kern w:val="0"/>
          <w:sz w:val="24"/>
          <w:highlight w:val="none"/>
        </w:rPr>
        <w:t>供应商</w:t>
      </w:r>
      <w:r>
        <w:rPr>
          <w:rFonts w:cs="宋体" w:asciiTheme="minorEastAsia" w:hAnsiTheme="minorEastAsia" w:eastAsiaTheme="minorEastAsia"/>
          <w:color w:val="auto"/>
          <w:kern w:val="0"/>
          <w:sz w:val="24"/>
          <w:highlight w:val="none"/>
        </w:rPr>
        <w:t>为非法人（包括其他组织、自然人）的</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□现附上由</w:t>
      </w:r>
      <w:r>
        <w:rPr>
          <w:rFonts w:cs="宋体" w:asciiTheme="minorEastAsia" w:hAnsiTheme="minorEastAsia" w:eastAsiaTheme="minorEastAsia"/>
          <w:color w:val="auto"/>
          <w:kern w:val="0"/>
          <w:sz w:val="24"/>
          <w:highlight w:val="none"/>
          <w:u w:val="single"/>
        </w:rPr>
        <w:t>（填写“签发机关全称”）</w:t>
      </w:r>
      <w:r>
        <w:rPr>
          <w:rFonts w:cs="宋体" w:asciiTheme="minorEastAsia" w:hAnsiTheme="minorEastAsia" w:eastAsiaTheme="minorEastAsia"/>
          <w:color w:val="auto"/>
          <w:kern w:val="0"/>
          <w:sz w:val="24"/>
          <w:highlight w:val="none"/>
        </w:rPr>
        <w:t>签发的我方</w:t>
      </w:r>
      <w:r>
        <w:rPr>
          <w:rFonts w:cs="宋体" w:asciiTheme="minorEastAsia" w:hAnsiTheme="minorEastAsia" w:eastAsiaTheme="minorEastAsia"/>
          <w:color w:val="auto"/>
          <w:kern w:val="0"/>
          <w:sz w:val="24"/>
          <w:highlight w:val="none"/>
          <w:u w:val="single"/>
        </w:rPr>
        <w:t>（请填写非自然人的非法人的具体证照名称）</w:t>
      </w:r>
      <w:r>
        <w:rPr>
          <w:rFonts w:cs="宋体" w:asciiTheme="minorEastAsia" w:hAnsiTheme="minorEastAsia" w:eastAsiaTheme="minorEastAsia"/>
          <w:color w:val="auto"/>
          <w:kern w:val="0"/>
          <w:sz w:val="24"/>
          <w:highlight w:val="none"/>
        </w:rPr>
        <w:t>复印件，该证明材料真实有效，否则我方负全部责任。</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□现附上由</w:t>
      </w:r>
      <w:r>
        <w:rPr>
          <w:rFonts w:cs="宋体" w:asciiTheme="minorEastAsia" w:hAnsiTheme="minorEastAsia" w:eastAsiaTheme="minorEastAsia"/>
          <w:color w:val="auto"/>
          <w:kern w:val="0"/>
          <w:sz w:val="24"/>
          <w:highlight w:val="none"/>
          <w:u w:val="single"/>
        </w:rPr>
        <w:t>（填写“签发机关全称”）</w:t>
      </w:r>
      <w:r>
        <w:rPr>
          <w:rFonts w:cs="宋体" w:asciiTheme="minorEastAsia" w:hAnsiTheme="minorEastAsia" w:eastAsiaTheme="minorEastAsia"/>
          <w:color w:val="auto"/>
          <w:kern w:val="0"/>
          <w:sz w:val="24"/>
          <w:highlight w:val="none"/>
        </w:rPr>
        <w:t>签发的我方</w:t>
      </w:r>
      <w:r>
        <w:rPr>
          <w:rFonts w:cs="宋体" w:asciiTheme="minorEastAsia" w:hAnsiTheme="minorEastAsia" w:eastAsiaTheme="minorEastAsia"/>
          <w:color w:val="auto"/>
          <w:kern w:val="0"/>
          <w:sz w:val="24"/>
          <w:highlight w:val="none"/>
          <w:u w:val="single"/>
        </w:rPr>
        <w:t>（请填写自然人的身份证件名称）</w:t>
      </w:r>
      <w:r>
        <w:rPr>
          <w:rFonts w:cs="宋体" w:asciiTheme="minorEastAsia" w:hAnsiTheme="minorEastAsia" w:eastAsiaTheme="minorEastAsia"/>
          <w:color w:val="auto"/>
          <w:kern w:val="0"/>
          <w:sz w:val="24"/>
          <w:highlight w:val="none"/>
        </w:rPr>
        <w:t>复印件，该证明材料真实有效，否则我方负全部责任。</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Calibri"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注意：</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1、请</w:t>
      </w:r>
      <w:r>
        <w:rPr>
          <w:rFonts w:hint="eastAsia" w:cs="宋体" w:asciiTheme="minorEastAsia" w:hAnsiTheme="minorEastAsia" w:eastAsiaTheme="minorEastAsia"/>
          <w:color w:val="auto"/>
          <w:kern w:val="0"/>
          <w:sz w:val="24"/>
          <w:highlight w:val="none"/>
        </w:rPr>
        <w:t>供应商</w:t>
      </w:r>
      <w:r>
        <w:rPr>
          <w:rFonts w:cs="宋体" w:asciiTheme="minorEastAsia" w:hAnsiTheme="minorEastAsia" w:eastAsiaTheme="minorEastAsia"/>
          <w:color w:val="auto"/>
          <w:kern w:val="0"/>
          <w:sz w:val="24"/>
          <w:highlight w:val="none"/>
        </w:rPr>
        <w:t>按照实际情况编制填写，在相应的（）中打“√”并选择相应的“□”（若有）后，再按照本格式的要求提供相应证明材料的复印件。</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供应商为企业、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3、供应商提供的相应证明材料复印件均应符合：内容完整、清晰、整洁，并由供应商加盖其单位公章。</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Calibri"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供应商：</w:t>
      </w:r>
      <w:r>
        <w:rPr>
          <w:rFonts w:cs="宋体" w:asciiTheme="minorEastAsia" w:hAnsiTheme="minorEastAsia" w:eastAsiaTheme="minorEastAsia"/>
          <w:color w:val="auto"/>
          <w:kern w:val="0"/>
          <w:sz w:val="24"/>
          <w:highlight w:val="none"/>
          <w:u w:val="single"/>
        </w:rPr>
        <w:t>（全称并加盖单位公章）</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供应商代表签字：</w:t>
      </w:r>
      <w:r>
        <w:rPr>
          <w:rFonts w:cs="宋体" w:asciiTheme="minorEastAsia" w:hAnsiTheme="minorEastAsia" w:eastAsiaTheme="minorEastAsia"/>
          <w:color w:val="auto"/>
          <w:kern w:val="0"/>
          <w:sz w:val="24"/>
          <w:highlight w:val="none"/>
          <w:u w:val="singl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日期：</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日</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sectPr>
          <w:pgSz w:w="11906" w:h="16838"/>
          <w:pgMar w:top="1418" w:right="1418" w:bottom="1418" w:left="1418" w:header="851" w:footer="992" w:gutter="0"/>
          <w:pgNumType w:fmt="decimal"/>
          <w:cols w:space="720" w:num="1"/>
          <w:titlePg/>
          <w:docGrid w:linePitch="312" w:charSpace="0"/>
        </w:sectPr>
      </w:pP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三-3、</w:t>
      </w:r>
      <w:r>
        <w:rPr>
          <w:rFonts w:cs="宋体" w:asciiTheme="minorEastAsia" w:hAnsiTheme="minorEastAsia" w:eastAsiaTheme="minorEastAsia"/>
          <w:b/>
          <w:color w:val="auto"/>
          <w:kern w:val="0"/>
          <w:sz w:val="28"/>
          <w:szCs w:val="28"/>
          <w:highlight w:val="none"/>
        </w:rPr>
        <w:t>单位负责人授权书（若有）</w:t>
      </w:r>
    </w:p>
    <w:p>
      <w:pPr>
        <w:widowControl/>
        <w:spacing w:line="360" w:lineRule="auto"/>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致：</w:t>
      </w:r>
      <w:r>
        <w:rPr>
          <w:rFonts w:cs="宋体" w:asciiTheme="minorEastAsia" w:hAnsiTheme="minorEastAsia" w:eastAsiaTheme="minorEastAsia"/>
          <w:color w:val="auto"/>
          <w:kern w:val="0"/>
          <w:sz w:val="24"/>
          <w:highlight w:val="none"/>
          <w:u w:val="singl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我方的单位负责人</w:t>
      </w:r>
      <w:r>
        <w:rPr>
          <w:rFonts w:cs="宋体" w:asciiTheme="minorEastAsia" w:hAnsiTheme="minorEastAsia" w:eastAsiaTheme="minorEastAsia"/>
          <w:color w:val="auto"/>
          <w:kern w:val="0"/>
          <w:sz w:val="24"/>
          <w:highlight w:val="none"/>
          <w:u w:val="single"/>
        </w:rPr>
        <w:t>（填写“单位负责人全名”）</w:t>
      </w:r>
      <w:r>
        <w:rPr>
          <w:rFonts w:cs="宋体" w:asciiTheme="minorEastAsia" w:hAnsiTheme="minorEastAsia" w:eastAsiaTheme="minorEastAsia"/>
          <w:color w:val="auto"/>
          <w:kern w:val="0"/>
          <w:sz w:val="24"/>
          <w:highlight w:val="none"/>
        </w:rPr>
        <w:t>授权</w:t>
      </w:r>
      <w:r>
        <w:rPr>
          <w:rFonts w:cs="宋体" w:asciiTheme="minorEastAsia" w:hAnsiTheme="minorEastAsia" w:eastAsiaTheme="minorEastAsia"/>
          <w:color w:val="auto"/>
          <w:kern w:val="0"/>
          <w:sz w:val="24"/>
          <w:highlight w:val="none"/>
          <w:u w:val="single"/>
        </w:rPr>
        <w:t>（填写“</w:t>
      </w:r>
      <w:r>
        <w:rPr>
          <w:rFonts w:hint="eastAsia" w:cs="宋体" w:asciiTheme="minorEastAsia" w:hAnsiTheme="minorEastAsia" w:eastAsiaTheme="minorEastAsia"/>
          <w:color w:val="auto"/>
          <w:kern w:val="0"/>
          <w:sz w:val="24"/>
          <w:highlight w:val="none"/>
          <w:u w:val="single"/>
        </w:rPr>
        <w:t>供应商</w:t>
      </w:r>
      <w:r>
        <w:rPr>
          <w:rFonts w:cs="宋体" w:asciiTheme="minorEastAsia" w:hAnsiTheme="minorEastAsia" w:eastAsiaTheme="minorEastAsia"/>
          <w:color w:val="auto"/>
          <w:kern w:val="0"/>
          <w:sz w:val="24"/>
          <w:highlight w:val="none"/>
          <w:u w:val="single"/>
        </w:rPr>
        <w:t>代表全名”）</w:t>
      </w:r>
      <w:r>
        <w:rPr>
          <w:rFonts w:cs="宋体" w:asciiTheme="minorEastAsia" w:hAnsiTheme="minorEastAsia" w:eastAsiaTheme="minorEastAsia"/>
          <w:color w:val="auto"/>
          <w:kern w:val="0"/>
          <w:sz w:val="24"/>
          <w:highlight w:val="none"/>
        </w:rPr>
        <w:t>为我方的</w:t>
      </w:r>
      <w:r>
        <w:rPr>
          <w:rFonts w:hint="eastAsia" w:cs="宋体" w:asciiTheme="minorEastAsia" w:hAnsiTheme="minorEastAsia" w:eastAsiaTheme="minorEastAsia"/>
          <w:color w:val="auto"/>
          <w:kern w:val="0"/>
          <w:sz w:val="24"/>
          <w:highlight w:val="none"/>
        </w:rPr>
        <w:t>供应商</w:t>
      </w:r>
      <w:r>
        <w:rPr>
          <w:rFonts w:cs="宋体" w:asciiTheme="minorEastAsia" w:hAnsiTheme="minorEastAsia" w:eastAsiaTheme="minorEastAsia"/>
          <w:color w:val="auto"/>
          <w:kern w:val="0"/>
          <w:sz w:val="24"/>
          <w:highlight w:val="none"/>
        </w:rPr>
        <w:t>代表，代表我方参加</w:t>
      </w:r>
      <w:r>
        <w:rPr>
          <w:rFonts w:cs="宋体" w:asciiTheme="minorEastAsia" w:hAnsiTheme="minorEastAsia" w:eastAsiaTheme="minorEastAsia"/>
          <w:color w:val="auto"/>
          <w:kern w:val="0"/>
          <w:sz w:val="24"/>
          <w:highlight w:val="none"/>
          <w:u w:val="single"/>
        </w:rPr>
        <w:t>（填写“项目名称”）</w:t>
      </w:r>
      <w:r>
        <w:rPr>
          <w:rFonts w:cs="宋体" w:asciiTheme="minorEastAsia" w:hAnsiTheme="minorEastAsia" w:eastAsiaTheme="minorEastAsia"/>
          <w:color w:val="auto"/>
          <w:kern w:val="0"/>
          <w:sz w:val="24"/>
          <w:highlight w:val="none"/>
        </w:rPr>
        <w:t>项目（</w:t>
      </w:r>
      <w:r>
        <w:rPr>
          <w:rFonts w:hint="eastAsia" w:cs="宋体" w:asciiTheme="minorEastAsia" w:hAnsiTheme="minorEastAsia" w:eastAsiaTheme="minorEastAsia"/>
          <w:color w:val="auto"/>
          <w:kern w:val="0"/>
          <w:sz w:val="24"/>
          <w:highlight w:val="none"/>
        </w:rPr>
        <w:t>项目</w:t>
      </w:r>
      <w:r>
        <w:rPr>
          <w:rFonts w:cs="宋体" w:asciiTheme="minorEastAsia" w:hAnsiTheme="minorEastAsia" w:eastAsiaTheme="minorEastAsia"/>
          <w:color w:val="auto"/>
          <w:kern w:val="0"/>
          <w:sz w:val="24"/>
          <w:highlight w:val="none"/>
        </w:rPr>
        <w:t>编号：</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）的</w:t>
      </w:r>
      <w:r>
        <w:rPr>
          <w:rFonts w:hint="eastAsia" w:cs="宋体" w:asciiTheme="minorEastAsia" w:hAnsiTheme="minorEastAsia" w:eastAsiaTheme="minorEastAsia"/>
          <w:color w:val="auto"/>
          <w:kern w:val="0"/>
          <w:sz w:val="24"/>
          <w:highlight w:val="none"/>
        </w:rPr>
        <w:t>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w:t>
      </w:r>
      <w:r>
        <w:rPr>
          <w:rFonts w:cs="宋体" w:asciiTheme="minorEastAsia" w:hAnsiTheme="minorEastAsia" w:eastAsiaTheme="minorEastAsia"/>
          <w:color w:val="auto"/>
          <w:kern w:val="0"/>
          <w:sz w:val="24"/>
          <w:highlight w:val="none"/>
        </w:rPr>
        <w:t>代表无转委权。特此授权。</w:t>
      </w:r>
    </w:p>
    <w:p>
      <w:pPr>
        <w:widowControl/>
        <w:spacing w:line="360" w:lineRule="auto"/>
        <w:ind w:firstLine="480" w:firstLineChars="200"/>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（以下无正文）</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u w:val="single"/>
        </w:rPr>
      </w:pPr>
      <w:r>
        <w:rPr>
          <w:rFonts w:cs="宋体" w:asciiTheme="minorEastAsia" w:hAnsiTheme="minorEastAsia" w:eastAsiaTheme="minorEastAsia"/>
          <w:color w:val="auto"/>
          <w:kern w:val="0"/>
          <w:sz w:val="24"/>
          <w:highlight w:val="none"/>
        </w:rPr>
        <w:t>单位负责人：</w:t>
      </w:r>
      <w:r>
        <w:rPr>
          <w:rFonts w:cs="宋体" w:asciiTheme="minorEastAsia" w:hAnsiTheme="minorEastAsia" w:eastAsiaTheme="minorEastAsia"/>
          <w:color w:val="auto"/>
          <w:kern w:val="0"/>
          <w:sz w:val="24"/>
          <w:highlight w:val="none"/>
          <w:u w:val="singl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u w:val="single"/>
        </w:rPr>
      </w:pPr>
      <w:r>
        <w:rPr>
          <w:rFonts w:cs="宋体" w:asciiTheme="minorEastAsia" w:hAnsiTheme="minorEastAsia" w:eastAsiaTheme="minorEastAsia"/>
          <w:color w:val="auto"/>
          <w:kern w:val="0"/>
          <w:sz w:val="24"/>
          <w:highlight w:val="none"/>
        </w:rPr>
        <w:t>身份证号：</w:t>
      </w:r>
      <w:r>
        <w:rPr>
          <w:rFonts w:cs="宋体" w:asciiTheme="minorEastAsia" w:hAnsiTheme="minorEastAsia" w:eastAsiaTheme="minorEastAsia"/>
          <w:color w:val="auto"/>
          <w:kern w:val="0"/>
          <w:sz w:val="24"/>
          <w:highlight w:val="none"/>
          <w:u w:val="singl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手机：</w:t>
      </w:r>
      <w:r>
        <w:rPr>
          <w:rFonts w:cs="宋体" w:asciiTheme="minorEastAsia" w:hAnsiTheme="minorEastAsia" w:eastAsiaTheme="minorEastAsia"/>
          <w:color w:val="auto"/>
          <w:kern w:val="0"/>
          <w:sz w:val="24"/>
          <w:highlight w:val="none"/>
          <w:u w:val="single"/>
        </w:rPr>
        <w:t>              </w:t>
      </w:r>
      <w:r>
        <w:rPr>
          <w:rFonts w:hint="eastAsia" w:cs="宋体" w:asciiTheme="minorEastAsia" w:hAnsiTheme="minorEastAsia" w:eastAsiaTheme="minorEastAsia"/>
          <w:color w:val="auto"/>
          <w:kern w:val="0"/>
          <w:sz w:val="24"/>
          <w:highlight w:val="none"/>
          <w:u w:val="single"/>
        </w:rPr>
        <w:t xml:space="preserve">    </w:t>
      </w:r>
    </w:p>
    <w:p>
      <w:pPr>
        <w:widowControl/>
        <w:spacing w:line="360" w:lineRule="auto"/>
        <w:ind w:firstLine="480" w:firstLineChars="200"/>
        <w:jc w:val="left"/>
        <w:rPr>
          <w:rFonts w:cs="宋体" w:asciiTheme="minorEastAsia" w:hAnsiTheme="minorEastAsia" w:eastAsiaTheme="minorEastAsia"/>
          <w:color w:val="auto"/>
          <w:kern w:val="0"/>
          <w:sz w:val="24"/>
          <w:highlight w:val="none"/>
          <w:u w:val="single"/>
        </w:rPr>
      </w:pPr>
      <w:r>
        <w:rPr>
          <w:rFonts w:hint="eastAsia" w:cs="宋体" w:asciiTheme="minorEastAsia" w:hAnsiTheme="minorEastAsia" w:eastAsiaTheme="minorEastAsia"/>
          <w:color w:val="auto"/>
          <w:kern w:val="0"/>
          <w:sz w:val="24"/>
          <w:highlight w:val="none"/>
        </w:rPr>
        <w:t>供应商</w:t>
      </w:r>
      <w:r>
        <w:rPr>
          <w:rFonts w:cs="宋体" w:asciiTheme="minorEastAsia" w:hAnsiTheme="minorEastAsia" w:eastAsiaTheme="minorEastAsia"/>
          <w:color w:val="auto"/>
          <w:kern w:val="0"/>
          <w:sz w:val="24"/>
          <w:highlight w:val="none"/>
        </w:rPr>
        <w:t>代表：</w:t>
      </w:r>
      <w:r>
        <w:rPr>
          <w:rFonts w:cs="宋体" w:asciiTheme="minorEastAsia" w:hAnsiTheme="minorEastAsia" w:eastAsiaTheme="minorEastAsia"/>
          <w:color w:val="auto"/>
          <w:kern w:val="0"/>
          <w:sz w:val="24"/>
          <w:highlight w:val="none"/>
          <w:u w:val="singl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u w:val="single"/>
        </w:rPr>
      </w:pPr>
      <w:r>
        <w:rPr>
          <w:rFonts w:cs="宋体" w:asciiTheme="minorEastAsia" w:hAnsiTheme="minorEastAsia" w:eastAsiaTheme="minorEastAsia"/>
          <w:color w:val="auto"/>
          <w:kern w:val="0"/>
          <w:sz w:val="24"/>
          <w:highlight w:val="none"/>
        </w:rPr>
        <w:t>身份证号：</w:t>
      </w:r>
      <w:r>
        <w:rPr>
          <w:rFonts w:cs="宋体" w:asciiTheme="minorEastAsia" w:hAnsiTheme="minorEastAsia" w:eastAsiaTheme="minorEastAsia"/>
          <w:color w:val="auto"/>
          <w:kern w:val="0"/>
          <w:sz w:val="24"/>
          <w:highlight w:val="none"/>
          <w:u w:val="singl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手机：</w:t>
      </w:r>
      <w:r>
        <w:rPr>
          <w:rFonts w:cs="宋体" w:asciiTheme="minorEastAsia" w:hAnsiTheme="minorEastAsia" w:eastAsiaTheme="minorEastAsia"/>
          <w:color w:val="auto"/>
          <w:kern w:val="0"/>
          <w:sz w:val="24"/>
          <w:highlight w:val="none"/>
          <w:u w:val="single"/>
        </w:rPr>
        <w:t>              </w:t>
      </w:r>
      <w:r>
        <w:rPr>
          <w:rFonts w:hint="eastAsia" w:cs="宋体" w:asciiTheme="minorEastAsia" w:hAnsiTheme="minorEastAsia" w:eastAsiaTheme="minorEastAsia"/>
          <w:color w:val="auto"/>
          <w:kern w:val="0"/>
          <w:sz w:val="24"/>
          <w:highlight w:val="none"/>
          <w:u w:val="single"/>
        </w:rPr>
        <w:t xml:space="preserve">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Calibri"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授权方</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w:t>
      </w:r>
      <w:r>
        <w:rPr>
          <w:rFonts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u w:val="single"/>
        </w:rPr>
        <w:t>（全称并加盖单位公章）</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单位负责人签字或盖章：</w:t>
      </w:r>
      <w:r>
        <w:rPr>
          <w:rFonts w:cs="宋体" w:asciiTheme="minorEastAsia" w:hAnsiTheme="minorEastAsia" w:eastAsiaTheme="minorEastAsia"/>
          <w:color w:val="auto"/>
          <w:kern w:val="0"/>
          <w:sz w:val="24"/>
          <w:highlight w:val="none"/>
          <w:u w:val="singl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Calibri"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接受授权方</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w:t>
      </w:r>
      <w:r>
        <w:rPr>
          <w:rFonts w:cs="宋体" w:asciiTheme="minorEastAsia" w:hAnsiTheme="minorEastAsia" w:eastAsiaTheme="minorEastAsia"/>
          <w:color w:val="auto"/>
          <w:kern w:val="0"/>
          <w:sz w:val="24"/>
          <w:highlight w:val="none"/>
        </w:rPr>
        <w:t>代表签字：</w:t>
      </w:r>
      <w:r>
        <w:rPr>
          <w:rFonts w:cs="宋体" w:asciiTheme="minorEastAsia" w:hAnsiTheme="minorEastAsia" w:eastAsiaTheme="minorEastAsia"/>
          <w:color w:val="auto"/>
          <w:kern w:val="0"/>
          <w:sz w:val="24"/>
          <w:highlight w:val="none"/>
          <w:u w:val="singl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p>
    <w:p>
      <w:pPr>
        <w:widowControl/>
        <w:spacing w:line="360" w:lineRule="auto"/>
        <w:ind w:firstLine="480" w:firstLineChars="200"/>
        <w:jc w:val="righ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签署日期：</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日</w:t>
      </w:r>
    </w:p>
    <w:p>
      <w:pPr>
        <w:rPr>
          <w:color w:val="auto"/>
          <w:highlight w:val="none"/>
        </w:rPr>
        <w:sectPr>
          <w:pgSz w:w="11906" w:h="16838"/>
          <w:pgMar w:top="1418" w:right="1418" w:bottom="1418" w:left="1418" w:header="851" w:footer="992" w:gutter="0"/>
          <w:pgNumType w:fmt="decimal"/>
          <w:cols w:space="720" w:num="1"/>
          <w:titlePg/>
          <w:docGrid w:linePitch="312" w:charSpace="0"/>
        </w:sectPr>
      </w:pPr>
    </w:p>
    <w:p>
      <w:pPr>
        <w:widowControl/>
        <w:spacing w:line="360" w:lineRule="auto"/>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附：</w:t>
      </w:r>
      <w:r>
        <w:rPr>
          <w:rFonts w:hint="eastAsia" w:cs="宋体" w:asciiTheme="minorEastAsia" w:hAnsiTheme="minorEastAsia" w:eastAsiaTheme="minorEastAsia"/>
          <w:color w:val="auto"/>
          <w:kern w:val="0"/>
          <w:sz w:val="24"/>
          <w:highlight w:val="none"/>
        </w:rPr>
        <w:t>供应商</w:t>
      </w:r>
      <w:r>
        <w:rPr>
          <w:rFonts w:cs="宋体" w:asciiTheme="minorEastAsia" w:hAnsiTheme="minorEastAsia" w:eastAsiaTheme="minorEastAsia"/>
          <w:color w:val="auto"/>
          <w:kern w:val="0"/>
          <w:sz w:val="24"/>
          <w:highlight w:val="none"/>
        </w:rPr>
        <w:t>代表的身份证正反面复印件</w:t>
      </w:r>
    </w:p>
    <w:tbl>
      <w:tblPr>
        <w:tblStyle w:val="41"/>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pPr>
              <w:widowControl/>
              <w:spacing w:before="100" w:beforeAutospacing="1" w:after="100" w:afterAutospacing="1" w:line="360" w:lineRule="auto"/>
              <w:jc w:val="center"/>
              <w:rPr>
                <w:rFonts w:ascii="宋体" w:hAnsi="宋体" w:cs="宋体"/>
                <w:color w:val="auto"/>
                <w:kern w:val="0"/>
                <w:sz w:val="28"/>
                <w:szCs w:val="28"/>
                <w:highlight w:val="none"/>
              </w:rPr>
            </w:pPr>
          </w:p>
          <w:p>
            <w:pPr>
              <w:widowControl/>
              <w:spacing w:before="100" w:beforeAutospacing="1" w:after="100" w:afterAutospacing="1" w:line="360" w:lineRule="auto"/>
              <w:jc w:val="center"/>
              <w:rPr>
                <w:rFonts w:ascii="宋体" w:hAnsi="宋体" w:cs="宋体"/>
                <w:color w:val="auto"/>
                <w:kern w:val="0"/>
                <w:sz w:val="28"/>
                <w:szCs w:val="28"/>
                <w:highlight w:val="none"/>
              </w:rPr>
            </w:pPr>
            <w:r>
              <w:rPr>
                <w:rFonts w:ascii="宋体" w:hAnsi="宋体" w:cs="宋体"/>
                <w:b/>
                <w:bCs/>
                <w:color w:val="auto"/>
                <w:kern w:val="0"/>
                <w:sz w:val="28"/>
                <w:szCs w:val="28"/>
                <w:highlight w:val="none"/>
              </w:rPr>
              <w:t>要求：真实有效且内容完整、清晰、整洁。</w:t>
            </w:r>
          </w:p>
          <w:p>
            <w:pPr>
              <w:widowControl/>
              <w:spacing w:before="100" w:beforeAutospacing="1" w:after="100" w:afterAutospacing="1" w:line="360" w:lineRule="auto"/>
              <w:jc w:val="center"/>
              <w:rPr>
                <w:rFonts w:ascii="宋体" w:hAnsi="宋体" w:cs="宋体"/>
                <w:color w:val="auto"/>
                <w:kern w:val="0"/>
                <w:sz w:val="28"/>
                <w:szCs w:val="28"/>
                <w:highlight w:val="none"/>
              </w:rPr>
            </w:pPr>
          </w:p>
        </w:tc>
      </w:tr>
    </w:tbl>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注意：</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1、企业（银行、保险、石油石化、电力、电信等行业除外）、事业单位和社会团体法人的“单位负责人”指</w:t>
      </w:r>
      <w:r>
        <w:rPr>
          <w:rFonts w:cs="宋体" w:asciiTheme="minorEastAsia" w:hAnsiTheme="minorEastAsia" w:eastAsiaTheme="minorEastAsia"/>
          <w:b/>
          <w:bCs/>
          <w:color w:val="auto"/>
          <w:kern w:val="0"/>
          <w:sz w:val="24"/>
          <w:highlight w:val="none"/>
        </w:rPr>
        <w:t>法定代表人</w:t>
      </w:r>
      <w:r>
        <w:rPr>
          <w:rFonts w:cs="宋体" w:asciiTheme="minorEastAsia" w:hAnsiTheme="minorEastAsia" w:eastAsiaTheme="minorEastAsia"/>
          <w:color w:val="auto"/>
          <w:kern w:val="0"/>
          <w:sz w:val="24"/>
          <w:highlight w:val="none"/>
        </w:rPr>
        <w:t>，即与实际提交的“营业执照等证明文件”载明的一致。</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2、银行、保险、石油石化、电力、电信等行业：以法人身份参加</w:t>
      </w:r>
      <w:r>
        <w:rPr>
          <w:rFonts w:hint="eastAsia" w:cs="宋体" w:asciiTheme="minorEastAsia" w:hAnsiTheme="minorEastAsia" w:eastAsiaTheme="minorEastAsia"/>
          <w:color w:val="auto"/>
          <w:kern w:val="0"/>
          <w:sz w:val="24"/>
          <w:highlight w:val="none"/>
        </w:rPr>
        <w:t>磋商</w:t>
      </w:r>
      <w:r>
        <w:rPr>
          <w:rFonts w:cs="宋体" w:asciiTheme="minorEastAsia" w:hAnsiTheme="minorEastAsia" w:eastAsiaTheme="minorEastAsia"/>
          <w:color w:val="auto"/>
          <w:kern w:val="0"/>
          <w:sz w:val="24"/>
          <w:highlight w:val="none"/>
        </w:rPr>
        <w:t>的，“单位负责人”指法定代表人，即与实际提交的“营业执照等证明文件”载明的一致；以非法人身份参加</w:t>
      </w:r>
      <w:r>
        <w:rPr>
          <w:rFonts w:hint="eastAsia" w:cs="宋体" w:asciiTheme="minorEastAsia" w:hAnsiTheme="minorEastAsia" w:eastAsiaTheme="minorEastAsia"/>
          <w:color w:val="auto"/>
          <w:kern w:val="0"/>
          <w:sz w:val="24"/>
          <w:highlight w:val="none"/>
        </w:rPr>
        <w:t>磋商</w:t>
      </w:r>
      <w:r>
        <w:rPr>
          <w:rFonts w:cs="宋体" w:asciiTheme="minorEastAsia" w:hAnsiTheme="minorEastAsia" w:eastAsiaTheme="minorEastAsia"/>
          <w:color w:val="auto"/>
          <w:kern w:val="0"/>
          <w:sz w:val="24"/>
          <w:highlight w:val="none"/>
        </w:rPr>
        <w:t>的，“单位负责人”指代表单位行使职权的主要负责人，即与实际提交的“营业执照等证明文件”载明的一致。</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w:t>
      </w:r>
      <w:r>
        <w:rPr>
          <w:rFonts w:hint="eastAsia" w:cs="宋体" w:asciiTheme="minorEastAsia" w:hAnsiTheme="minorEastAsia" w:eastAsiaTheme="minorEastAsia"/>
          <w:color w:val="auto"/>
          <w:kern w:val="0"/>
          <w:sz w:val="24"/>
          <w:highlight w:val="none"/>
        </w:rPr>
        <w:t>供应商</w:t>
      </w:r>
      <w:r>
        <w:rPr>
          <w:rFonts w:cs="宋体" w:asciiTheme="minorEastAsia" w:hAnsiTheme="minorEastAsia" w:eastAsiaTheme="minorEastAsia"/>
          <w:color w:val="auto"/>
          <w:kern w:val="0"/>
          <w:sz w:val="24"/>
          <w:highlight w:val="none"/>
        </w:rPr>
        <w:t>（自然人除外）：若</w:t>
      </w:r>
      <w:r>
        <w:rPr>
          <w:rFonts w:hint="eastAsia" w:cs="宋体" w:asciiTheme="minorEastAsia" w:hAnsiTheme="minorEastAsia" w:eastAsiaTheme="minorEastAsia"/>
          <w:color w:val="auto"/>
          <w:kern w:val="0"/>
          <w:sz w:val="24"/>
          <w:highlight w:val="none"/>
        </w:rPr>
        <w:t>供应商</w:t>
      </w:r>
      <w:r>
        <w:rPr>
          <w:rFonts w:cs="宋体" w:asciiTheme="minorEastAsia" w:hAnsiTheme="minorEastAsia" w:eastAsiaTheme="minorEastAsia"/>
          <w:color w:val="auto"/>
          <w:kern w:val="0"/>
          <w:sz w:val="24"/>
          <w:highlight w:val="none"/>
        </w:rPr>
        <w:t>代表为单位负责人授权的委托代理人，应提供本授权书；若</w:t>
      </w:r>
      <w:r>
        <w:rPr>
          <w:rFonts w:hint="eastAsia" w:cs="宋体" w:asciiTheme="minorEastAsia" w:hAnsiTheme="minorEastAsia" w:eastAsiaTheme="minorEastAsia"/>
          <w:color w:val="auto"/>
          <w:kern w:val="0"/>
          <w:sz w:val="24"/>
          <w:highlight w:val="none"/>
        </w:rPr>
        <w:t>供应商</w:t>
      </w:r>
      <w:r>
        <w:rPr>
          <w:rFonts w:cs="宋体" w:asciiTheme="minorEastAsia" w:hAnsiTheme="minorEastAsia" w:eastAsiaTheme="minorEastAsia"/>
          <w:color w:val="auto"/>
          <w:kern w:val="0"/>
          <w:sz w:val="24"/>
          <w:highlight w:val="none"/>
        </w:rPr>
        <w:t>代表为单位负责人，应在此项下提交其身份证正反面复印件，可不提供本授权书。</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4、</w:t>
      </w:r>
      <w:r>
        <w:rPr>
          <w:rFonts w:hint="eastAsia" w:cs="宋体" w:asciiTheme="minorEastAsia" w:hAnsiTheme="minorEastAsia" w:eastAsiaTheme="minorEastAsia"/>
          <w:color w:val="auto"/>
          <w:kern w:val="0"/>
          <w:sz w:val="24"/>
          <w:highlight w:val="none"/>
        </w:rPr>
        <w:t>供应商</w:t>
      </w:r>
      <w:r>
        <w:rPr>
          <w:rFonts w:cs="宋体" w:asciiTheme="minorEastAsia" w:hAnsiTheme="minorEastAsia" w:eastAsiaTheme="minorEastAsia"/>
          <w:color w:val="auto"/>
          <w:kern w:val="0"/>
          <w:sz w:val="24"/>
          <w:highlight w:val="none"/>
        </w:rPr>
        <w:t>为自然人的，可不填写本授权书</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应在此项下提交其身份证正反面复印件。</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sectPr>
          <w:pgSz w:w="11906" w:h="16838"/>
          <w:pgMar w:top="1418" w:right="1418" w:bottom="1418" w:left="1418" w:header="851" w:footer="992" w:gutter="0"/>
          <w:pgNumType w:fmt="decimal"/>
          <w:cols w:space="720" w:num="1"/>
          <w:titlePg/>
          <w:docGrid w:linePitch="312" w:charSpace="0"/>
        </w:sectPr>
      </w:pP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cs="宋体" w:asciiTheme="minorEastAsia" w:hAnsiTheme="minorEastAsia" w:eastAsiaTheme="minorEastAsia"/>
          <w:b/>
          <w:color w:val="auto"/>
          <w:kern w:val="0"/>
          <w:sz w:val="28"/>
          <w:szCs w:val="28"/>
          <w:highlight w:val="none"/>
        </w:rPr>
        <w:t>单位负责人的身份证正反面复印件</w:t>
      </w:r>
    </w:p>
    <w:tbl>
      <w:tblPr>
        <w:tblStyle w:val="41"/>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pPr>
              <w:widowControl/>
              <w:spacing w:before="100" w:beforeAutospacing="1" w:after="100" w:afterAutospacing="1" w:line="360" w:lineRule="auto"/>
              <w:jc w:val="center"/>
              <w:rPr>
                <w:rFonts w:ascii="宋体" w:hAnsi="宋体" w:cs="宋体"/>
                <w:color w:val="auto"/>
                <w:kern w:val="0"/>
                <w:sz w:val="28"/>
                <w:szCs w:val="28"/>
                <w:highlight w:val="none"/>
              </w:rPr>
            </w:pPr>
          </w:p>
          <w:p>
            <w:pPr>
              <w:widowControl/>
              <w:spacing w:before="100" w:beforeAutospacing="1" w:after="100" w:afterAutospacing="1" w:line="360" w:lineRule="auto"/>
              <w:jc w:val="center"/>
              <w:rPr>
                <w:rFonts w:ascii="宋体" w:hAnsi="宋体" w:cs="宋体"/>
                <w:color w:val="auto"/>
                <w:kern w:val="0"/>
                <w:sz w:val="28"/>
                <w:szCs w:val="28"/>
                <w:highlight w:val="none"/>
              </w:rPr>
            </w:pPr>
            <w:r>
              <w:rPr>
                <w:rFonts w:ascii="宋体" w:hAnsi="宋体" w:cs="宋体"/>
                <w:b/>
                <w:bCs/>
                <w:color w:val="auto"/>
                <w:kern w:val="0"/>
                <w:sz w:val="28"/>
                <w:szCs w:val="28"/>
                <w:highlight w:val="none"/>
              </w:rPr>
              <w:t>要求：真实有效且内容完整、清晰、整洁。</w:t>
            </w:r>
          </w:p>
          <w:p>
            <w:pPr>
              <w:widowControl/>
              <w:spacing w:before="100" w:beforeAutospacing="1" w:after="100" w:afterAutospacing="1" w:line="360" w:lineRule="auto"/>
              <w:jc w:val="center"/>
              <w:rPr>
                <w:rFonts w:ascii="宋体" w:hAnsi="宋体" w:cs="宋体"/>
                <w:color w:val="auto"/>
                <w:kern w:val="0"/>
                <w:sz w:val="28"/>
                <w:szCs w:val="28"/>
                <w:highlight w:val="none"/>
              </w:rPr>
            </w:pPr>
          </w:p>
        </w:tc>
      </w:tr>
    </w:tbl>
    <w:p>
      <w:pPr>
        <w:widowControl/>
        <w:spacing w:line="360" w:lineRule="auto"/>
        <w:jc w:val="left"/>
        <w:rPr>
          <w:rFonts w:cs="宋体" w:asciiTheme="minorEastAsia" w:hAnsiTheme="minorEastAsia" w:eastAsiaTheme="minorEastAsia"/>
          <w:color w:val="auto"/>
          <w:kern w:val="0"/>
          <w:sz w:val="24"/>
          <w:highlight w:val="none"/>
        </w:rPr>
      </w:pPr>
    </w:p>
    <w:p>
      <w:pPr>
        <w:widowControl/>
        <w:spacing w:line="360" w:lineRule="auto"/>
        <w:jc w:val="left"/>
        <w:rPr>
          <w:rFonts w:cs="宋体" w:asciiTheme="minorEastAsia" w:hAnsiTheme="minorEastAsia" w:eastAsiaTheme="minorEastAsia"/>
          <w:color w:val="auto"/>
          <w:kern w:val="0"/>
          <w:sz w:val="24"/>
          <w:highlight w:val="none"/>
        </w:rPr>
      </w:pPr>
    </w:p>
    <w:p>
      <w:pPr>
        <w:widowControl/>
        <w:spacing w:line="360" w:lineRule="auto"/>
        <w:ind w:firstLine="480" w:firstLineChars="200"/>
        <w:jc w:val="left"/>
        <w:rPr>
          <w:rFonts w:cs="宋体" w:asciiTheme="minorEastAsia" w:hAnsiTheme="minorEastAsia" w:eastAsiaTheme="minorEastAsia"/>
          <w:color w:val="auto"/>
          <w:kern w:val="0"/>
          <w:sz w:val="24"/>
          <w:highlight w:val="none"/>
        </w:rPr>
        <w:sectPr>
          <w:pgSz w:w="11906" w:h="16838"/>
          <w:pgMar w:top="1418" w:right="1418" w:bottom="1418" w:left="1418" w:header="851" w:footer="992" w:gutter="0"/>
          <w:pgNumType w:fmt="decimal"/>
          <w:cols w:space="720" w:num="1"/>
          <w:titlePg/>
          <w:docGrid w:linePitch="312" w:charSpace="0"/>
        </w:sectPr>
      </w:pP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三-4、</w:t>
      </w:r>
      <w:r>
        <w:rPr>
          <w:rFonts w:cs="宋体" w:asciiTheme="minorEastAsia" w:hAnsiTheme="minorEastAsia" w:eastAsiaTheme="minorEastAsia"/>
          <w:b/>
          <w:color w:val="auto"/>
          <w:kern w:val="0"/>
          <w:sz w:val="28"/>
          <w:szCs w:val="28"/>
          <w:highlight w:val="none"/>
        </w:rPr>
        <w:t>财务状况报告</w:t>
      </w:r>
    </w:p>
    <w:p>
      <w:pPr>
        <w:widowControl/>
        <w:spacing w:line="360" w:lineRule="auto"/>
        <w:jc w:val="center"/>
        <w:rPr>
          <w:rFonts w:ascii="黑体" w:hAnsi="黑体" w:eastAsia="黑体" w:cs="宋体"/>
          <w:b/>
          <w:bCs/>
          <w:color w:val="auto"/>
          <w:kern w:val="0"/>
          <w:sz w:val="28"/>
          <w:szCs w:val="18"/>
          <w:highlight w:val="none"/>
        </w:rPr>
      </w:pPr>
    </w:p>
    <w:p>
      <w:pPr>
        <w:widowControl/>
        <w:spacing w:line="360" w:lineRule="auto"/>
        <w:jc w:val="center"/>
        <w:rPr>
          <w:rFonts w:cs="宋体" w:asciiTheme="minorEastAsia" w:hAnsiTheme="minorEastAsia" w:eastAsiaTheme="minorEastAsia"/>
          <w:bCs/>
          <w:color w:val="auto"/>
          <w:kern w:val="0"/>
          <w:sz w:val="28"/>
          <w:szCs w:val="18"/>
          <w:highlight w:val="none"/>
        </w:rPr>
      </w:pPr>
      <w:r>
        <w:rPr>
          <w:rFonts w:hint="eastAsia" w:cs="宋体" w:asciiTheme="minorEastAsia" w:hAnsiTheme="minorEastAsia" w:eastAsiaTheme="minorEastAsia"/>
          <w:bCs/>
          <w:color w:val="auto"/>
          <w:kern w:val="0"/>
          <w:sz w:val="28"/>
          <w:szCs w:val="18"/>
          <w:highlight w:val="none"/>
        </w:rPr>
        <w:t>（按资格要求提供相应证明材料）</w:t>
      </w:r>
    </w:p>
    <w:p>
      <w:pPr>
        <w:widowControl/>
        <w:spacing w:line="360" w:lineRule="auto"/>
        <w:jc w:val="center"/>
        <w:rPr>
          <w:rFonts w:ascii="黑体" w:hAnsi="黑体" w:eastAsia="黑体" w:cs="宋体"/>
          <w:b/>
          <w:bCs/>
          <w:color w:val="auto"/>
          <w:kern w:val="0"/>
          <w:sz w:val="28"/>
          <w:szCs w:val="18"/>
          <w:highlight w:val="none"/>
        </w:rPr>
      </w:pPr>
    </w:p>
    <w:p>
      <w:pPr>
        <w:widowControl/>
        <w:spacing w:line="360" w:lineRule="auto"/>
        <w:jc w:val="center"/>
        <w:rPr>
          <w:rFonts w:ascii="黑体" w:hAnsi="黑体" w:eastAsia="黑体" w:cs="宋体"/>
          <w:b/>
          <w:bCs/>
          <w:color w:val="auto"/>
          <w:kern w:val="0"/>
          <w:sz w:val="28"/>
          <w:szCs w:val="18"/>
          <w:highlight w:val="none"/>
        </w:rPr>
      </w:pPr>
    </w:p>
    <w:p>
      <w:pPr>
        <w:widowControl/>
        <w:spacing w:line="360" w:lineRule="auto"/>
        <w:jc w:val="center"/>
        <w:rPr>
          <w:rFonts w:ascii="黑体" w:hAnsi="黑体" w:eastAsia="黑体" w:cs="宋体"/>
          <w:b/>
          <w:bCs/>
          <w:color w:val="auto"/>
          <w:kern w:val="0"/>
          <w:sz w:val="28"/>
          <w:szCs w:val="18"/>
          <w:highlight w:val="none"/>
        </w:rPr>
      </w:pP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三-5、</w:t>
      </w:r>
      <w:r>
        <w:rPr>
          <w:rFonts w:cs="宋体" w:asciiTheme="minorEastAsia" w:hAnsiTheme="minorEastAsia" w:eastAsiaTheme="minorEastAsia"/>
          <w:b/>
          <w:color w:val="auto"/>
          <w:kern w:val="0"/>
          <w:sz w:val="28"/>
          <w:szCs w:val="28"/>
          <w:highlight w:val="none"/>
        </w:rPr>
        <w:t>依法缴纳税收证明材料</w:t>
      </w:r>
    </w:p>
    <w:p>
      <w:pPr>
        <w:widowControl/>
        <w:spacing w:line="360" w:lineRule="auto"/>
        <w:jc w:val="center"/>
        <w:rPr>
          <w:rFonts w:ascii="黑体" w:hAnsi="黑体" w:eastAsia="黑体" w:cs="宋体"/>
          <w:b/>
          <w:bCs/>
          <w:color w:val="auto"/>
          <w:kern w:val="0"/>
          <w:sz w:val="28"/>
          <w:szCs w:val="18"/>
          <w:highlight w:val="none"/>
        </w:rPr>
      </w:pPr>
    </w:p>
    <w:p>
      <w:pPr>
        <w:widowControl/>
        <w:spacing w:line="360" w:lineRule="auto"/>
        <w:jc w:val="center"/>
        <w:rPr>
          <w:rFonts w:ascii="黑体" w:hAnsi="黑体" w:eastAsia="黑体" w:cs="宋体"/>
          <w:b/>
          <w:bCs/>
          <w:color w:val="auto"/>
          <w:kern w:val="0"/>
          <w:sz w:val="28"/>
          <w:szCs w:val="18"/>
          <w:highlight w:val="none"/>
        </w:rPr>
      </w:pPr>
      <w:r>
        <w:rPr>
          <w:rFonts w:hint="eastAsia" w:cs="宋体" w:asciiTheme="minorEastAsia" w:hAnsiTheme="minorEastAsia" w:eastAsiaTheme="minorEastAsia"/>
          <w:bCs/>
          <w:color w:val="auto"/>
          <w:kern w:val="0"/>
          <w:sz w:val="28"/>
          <w:szCs w:val="18"/>
          <w:highlight w:val="none"/>
        </w:rPr>
        <w:t>（按资格要求提供相应证明材料）</w:t>
      </w:r>
    </w:p>
    <w:p>
      <w:pPr>
        <w:widowControl/>
        <w:spacing w:line="360" w:lineRule="auto"/>
        <w:jc w:val="center"/>
        <w:rPr>
          <w:rFonts w:ascii="黑体" w:hAnsi="黑体" w:eastAsia="黑体" w:cs="宋体"/>
          <w:b/>
          <w:bCs/>
          <w:color w:val="auto"/>
          <w:kern w:val="0"/>
          <w:sz w:val="28"/>
          <w:szCs w:val="18"/>
          <w:highlight w:val="none"/>
        </w:rPr>
      </w:pPr>
    </w:p>
    <w:p>
      <w:pPr>
        <w:widowControl/>
        <w:spacing w:line="360" w:lineRule="auto"/>
        <w:jc w:val="center"/>
        <w:rPr>
          <w:rFonts w:ascii="黑体" w:hAnsi="黑体" w:eastAsia="黑体" w:cs="宋体"/>
          <w:b/>
          <w:bCs/>
          <w:color w:val="auto"/>
          <w:kern w:val="0"/>
          <w:sz w:val="28"/>
          <w:szCs w:val="18"/>
          <w:highlight w:val="none"/>
        </w:rPr>
      </w:pPr>
    </w:p>
    <w:p>
      <w:pPr>
        <w:widowControl/>
        <w:spacing w:line="360" w:lineRule="auto"/>
        <w:jc w:val="center"/>
        <w:rPr>
          <w:rFonts w:ascii="黑体" w:hAnsi="黑体" w:eastAsia="黑体" w:cs="宋体"/>
          <w:b/>
          <w:bCs/>
          <w:color w:val="auto"/>
          <w:kern w:val="0"/>
          <w:sz w:val="28"/>
          <w:szCs w:val="18"/>
          <w:highlight w:val="none"/>
        </w:rPr>
      </w:pP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三-6、</w:t>
      </w:r>
      <w:r>
        <w:rPr>
          <w:rFonts w:cs="宋体" w:asciiTheme="minorEastAsia" w:hAnsiTheme="minorEastAsia" w:eastAsiaTheme="minorEastAsia"/>
          <w:b/>
          <w:color w:val="auto"/>
          <w:kern w:val="0"/>
          <w:sz w:val="28"/>
          <w:szCs w:val="28"/>
          <w:highlight w:val="none"/>
        </w:rPr>
        <w:t>依法缴纳社会保障资金证明材料</w:t>
      </w:r>
    </w:p>
    <w:p>
      <w:pPr>
        <w:widowControl/>
        <w:spacing w:line="360" w:lineRule="auto"/>
        <w:jc w:val="center"/>
        <w:rPr>
          <w:rFonts w:ascii="黑体" w:hAnsi="黑体" w:eastAsia="黑体" w:cs="宋体"/>
          <w:b/>
          <w:bCs/>
          <w:color w:val="auto"/>
          <w:kern w:val="0"/>
          <w:sz w:val="28"/>
          <w:szCs w:val="18"/>
          <w:highlight w:val="none"/>
        </w:rPr>
      </w:pPr>
    </w:p>
    <w:p>
      <w:pPr>
        <w:widowControl/>
        <w:spacing w:before="50" w:after="50" w:line="360" w:lineRule="auto"/>
        <w:jc w:val="center"/>
        <w:rPr>
          <w:rFonts w:cs="宋体" w:asciiTheme="minorEastAsia" w:hAnsiTheme="minorEastAsia" w:eastAsiaTheme="minorEastAsia"/>
          <w:bCs/>
          <w:color w:val="auto"/>
          <w:kern w:val="0"/>
          <w:sz w:val="28"/>
          <w:szCs w:val="18"/>
          <w:highlight w:val="none"/>
        </w:rPr>
      </w:pPr>
      <w:r>
        <w:rPr>
          <w:rFonts w:hint="eastAsia" w:cs="宋体" w:asciiTheme="minorEastAsia" w:hAnsiTheme="minorEastAsia" w:eastAsiaTheme="minorEastAsia"/>
          <w:bCs/>
          <w:color w:val="auto"/>
          <w:kern w:val="0"/>
          <w:sz w:val="28"/>
          <w:szCs w:val="18"/>
          <w:highlight w:val="none"/>
        </w:rPr>
        <w:t>（按资格要求提供相应证明材料）</w:t>
      </w:r>
    </w:p>
    <w:p>
      <w:pPr>
        <w:widowControl/>
        <w:spacing w:before="50" w:after="50" w:line="360" w:lineRule="auto"/>
        <w:jc w:val="center"/>
        <w:rPr>
          <w:rFonts w:cs="宋体" w:asciiTheme="minorEastAsia" w:hAnsiTheme="minorEastAsia" w:eastAsiaTheme="minorEastAsia"/>
          <w:color w:val="auto"/>
          <w:kern w:val="0"/>
          <w:sz w:val="24"/>
          <w:highlight w:val="none"/>
        </w:rPr>
        <w:sectPr>
          <w:pgSz w:w="11906" w:h="16838"/>
          <w:pgMar w:top="1418" w:right="1418" w:bottom="1418" w:left="1418" w:header="851" w:footer="992" w:gutter="0"/>
          <w:pgNumType w:fmt="decimal"/>
          <w:cols w:space="720" w:num="1"/>
          <w:titlePg/>
          <w:docGrid w:linePitch="312" w:charSpace="0"/>
        </w:sectPr>
      </w:pPr>
    </w:p>
    <w:p>
      <w:pPr>
        <w:widowControl/>
        <w:spacing w:before="50" w:after="50" w:line="360" w:lineRule="auto"/>
        <w:jc w:val="center"/>
        <w:rPr>
          <w:rFonts w:cs="宋体" w:asciiTheme="minorEastAsia" w:hAnsiTheme="minorEastAsia" w:eastAsiaTheme="minorEastAsia"/>
          <w:color w:val="auto"/>
          <w:kern w:val="0"/>
          <w:sz w:val="24"/>
          <w:highlight w:val="none"/>
        </w:rPr>
      </w:pP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资格承诺函</w:t>
      </w:r>
    </w:p>
    <w:p>
      <w:pPr>
        <w:spacing w:line="560" w:lineRule="exact"/>
        <w:rPr>
          <w:rFonts w:asciiTheme="minorEastAsia" w:hAnsiTheme="minorEastAsia" w:eastAsiaTheme="minorEastAsia"/>
          <w:color w:val="auto"/>
          <w:sz w:val="24"/>
          <w:highlight w:val="none"/>
        </w:rPr>
      </w:pPr>
    </w:p>
    <w:p>
      <w:pPr>
        <w:spacing w:line="560" w:lineRule="exact"/>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iCs/>
          <w:color w:val="auto"/>
          <w:sz w:val="24"/>
          <w:highlight w:val="none"/>
          <w:u w:val="single"/>
        </w:rPr>
        <w:t>（采购人）</w:t>
      </w:r>
      <w:r>
        <w:rPr>
          <w:rFonts w:hint="eastAsia" w:asciiTheme="minorEastAsia" w:hAnsiTheme="minorEastAsia" w:eastAsiaTheme="minorEastAsia"/>
          <w:color w:val="auto"/>
          <w:sz w:val="24"/>
          <w:highlight w:val="none"/>
          <w:u w:val="single"/>
        </w:rPr>
        <w:t xml:space="preserve">    </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我单位参与</w:t>
      </w:r>
      <w:r>
        <w:rPr>
          <w:rFonts w:hint="eastAsia" w:asciiTheme="minorEastAsia" w:hAnsiTheme="minorEastAsia" w:eastAsiaTheme="minorEastAsia"/>
          <w:color w:val="auto"/>
          <w:sz w:val="24"/>
          <w:highlight w:val="none"/>
          <w:u w:val="single"/>
        </w:rPr>
        <w:t xml:space="preserve">  （项目名称）  （项目编号：    ）</w:t>
      </w:r>
      <w:r>
        <w:rPr>
          <w:rFonts w:hint="eastAsia" w:asciiTheme="minorEastAsia" w:hAnsiTheme="minorEastAsia" w:eastAsiaTheme="minorEastAsia"/>
          <w:color w:val="auto"/>
          <w:sz w:val="24"/>
          <w:highlight w:val="none"/>
        </w:rPr>
        <w:t>项目的采购活动，现承诺如下：</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1.我单位具有符合采购文件资格要求的财务状况报告。</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2.我单位具有符合采购文件资格要求的依法缴纳税收的相关证明材料。</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3.我单位具有符合采购文件资格要求的依法缴纳社会保障资金的相关证明材料。</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若我单位承诺不实，自愿承担提供虚假材料谋取中标、成交的法律责任。</w:t>
      </w:r>
    </w:p>
    <w:p>
      <w:pPr>
        <w:spacing w:line="560" w:lineRule="exact"/>
        <w:ind w:firstLine="480" w:firstLineChars="200"/>
        <w:rPr>
          <w:rFonts w:asciiTheme="minorEastAsia" w:hAnsiTheme="minorEastAsia" w:eastAsiaTheme="minorEastAsia"/>
          <w:color w:val="auto"/>
          <w:sz w:val="24"/>
          <w:highlight w:val="none"/>
        </w:rPr>
      </w:pPr>
    </w:p>
    <w:p>
      <w:pPr>
        <w:spacing w:line="560" w:lineRule="exact"/>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承诺供应商（全称并加盖公章）：</w:t>
      </w:r>
      <w:r>
        <w:rPr>
          <w:rFonts w:hint="eastAsia" w:asciiTheme="minorEastAsia" w:hAnsiTheme="minorEastAsia" w:eastAsiaTheme="minorEastAsia"/>
          <w:color w:val="auto"/>
          <w:sz w:val="24"/>
          <w:highlight w:val="none"/>
          <w:u w:val="single"/>
        </w:rPr>
        <w:t xml:space="preserve">              </w:t>
      </w:r>
    </w:p>
    <w:p>
      <w:pPr>
        <w:spacing w:line="560" w:lineRule="exact"/>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单位负责人或授权代表（签字）：</w:t>
      </w:r>
      <w:r>
        <w:rPr>
          <w:rFonts w:hint="eastAsia" w:asciiTheme="minorEastAsia" w:hAnsiTheme="minorEastAsia" w:eastAsiaTheme="minorEastAsia"/>
          <w:color w:val="auto"/>
          <w:sz w:val="24"/>
          <w:highlight w:val="none"/>
          <w:u w:val="single"/>
        </w:rPr>
        <w:t xml:space="preserve">              </w:t>
      </w:r>
    </w:p>
    <w:p>
      <w:pPr>
        <w:spacing w:line="560" w:lineRule="exact"/>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日期：</w:t>
      </w:r>
      <w:r>
        <w:rPr>
          <w:rFonts w:hint="eastAsia" w:asciiTheme="minorEastAsia" w:hAnsiTheme="minorEastAsia" w:eastAsiaTheme="minorEastAsia"/>
          <w:color w:val="auto"/>
          <w:sz w:val="24"/>
          <w:highlight w:val="none"/>
          <w:u w:val="single"/>
        </w:rPr>
        <w:t xml:space="preserve">              </w:t>
      </w:r>
    </w:p>
    <w:p>
      <w:pPr>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说明：1.供应商可自行选择是否提供本承诺函，若不提供本承诺函的，应按采购文件要求提供相应的证明材料。</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2.供应商可删减承诺事项，如删去承诺第1项的，则应按采购文件要求提供财务状况报告。</w:t>
      </w:r>
    </w:p>
    <w:p>
      <w:pPr>
        <w:rPr>
          <w:color w:val="auto"/>
          <w:kern w:val="0"/>
          <w:highlight w:val="none"/>
        </w:rPr>
        <w:sectPr>
          <w:pgSz w:w="11906" w:h="16838"/>
          <w:pgMar w:top="1418" w:right="1418" w:bottom="1418" w:left="1418" w:header="851" w:footer="992" w:gutter="0"/>
          <w:pgNumType w:fmt="decimal"/>
          <w:cols w:space="720" w:num="1"/>
          <w:titlePg/>
          <w:docGrid w:linePitch="312" w:charSpace="0"/>
        </w:sectPr>
      </w:pPr>
      <w:r>
        <w:rPr>
          <w:color w:val="auto"/>
          <w:kern w:val="0"/>
          <w:highlight w:val="none"/>
        </w:rPr>
        <w:t> </w:t>
      </w: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三-7、</w:t>
      </w:r>
      <w:r>
        <w:rPr>
          <w:rFonts w:cs="宋体" w:asciiTheme="minorEastAsia" w:hAnsiTheme="minorEastAsia" w:eastAsiaTheme="minorEastAsia"/>
          <w:b/>
          <w:color w:val="auto"/>
          <w:kern w:val="0"/>
          <w:sz w:val="28"/>
          <w:szCs w:val="28"/>
          <w:highlight w:val="none"/>
        </w:rPr>
        <w:t>具备履行合同所必需设备和专业技术能力的声明函</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p>
    <w:p>
      <w:pPr>
        <w:widowControl/>
        <w:spacing w:line="360" w:lineRule="auto"/>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致：</w:t>
      </w:r>
      <w:r>
        <w:rPr>
          <w:rFonts w:cs="宋体" w:asciiTheme="minorEastAsia" w:hAnsiTheme="minorEastAsia" w:eastAsiaTheme="minorEastAsia"/>
          <w:color w:val="auto"/>
          <w:kern w:val="0"/>
          <w:sz w:val="24"/>
          <w:highlight w:val="none"/>
          <w:u w:val="singl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我方具备履行合同所</w:t>
      </w:r>
      <w:r>
        <w:rPr>
          <w:rFonts w:cs="Calibri" w:asciiTheme="minorEastAsia" w:hAnsiTheme="minorEastAsia" w:eastAsiaTheme="minorEastAsia"/>
          <w:color w:val="auto"/>
          <w:kern w:val="0"/>
          <w:sz w:val="24"/>
          <w:highlight w:val="none"/>
        </w:rPr>
        <w:t>必需的设备和专业技术能力</w:t>
      </w:r>
      <w:r>
        <w:rPr>
          <w:rFonts w:cs="宋体" w:asciiTheme="minorEastAsia" w:hAnsiTheme="minorEastAsia" w:eastAsiaTheme="minorEastAsia"/>
          <w:color w:val="auto"/>
          <w:kern w:val="0"/>
          <w:sz w:val="24"/>
          <w:highlight w:val="none"/>
        </w:rPr>
        <w:t>，否则产生不利后果由我方承担责任。</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特此声明。</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Calibri"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Calibri"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供应商：</w:t>
      </w:r>
      <w:r>
        <w:rPr>
          <w:rFonts w:cs="宋体" w:asciiTheme="minorEastAsia" w:hAnsiTheme="minorEastAsia" w:eastAsiaTheme="minorEastAsia"/>
          <w:color w:val="auto"/>
          <w:kern w:val="0"/>
          <w:sz w:val="24"/>
          <w:highlight w:val="none"/>
          <w:u w:val="single"/>
        </w:rPr>
        <w:t>（全称并加盖单位公章）</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供应商代表签字：</w:t>
      </w:r>
      <w:r>
        <w:rPr>
          <w:rFonts w:cs="宋体" w:asciiTheme="minorEastAsia" w:hAnsiTheme="minorEastAsia" w:eastAsiaTheme="minorEastAsia"/>
          <w:color w:val="auto"/>
          <w:kern w:val="0"/>
          <w:sz w:val="24"/>
          <w:highlight w:val="none"/>
          <w:u w:val="singl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日期：</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日</w:t>
      </w:r>
    </w:p>
    <w:p>
      <w:pPr>
        <w:rPr>
          <w:color w:val="auto"/>
          <w:highlight w:val="none"/>
        </w:rPr>
        <w:sectPr>
          <w:pgSz w:w="11906" w:h="16838"/>
          <w:pgMar w:top="1418" w:right="1418" w:bottom="1418" w:left="1418" w:header="851" w:footer="992" w:gutter="0"/>
          <w:pgNumType w:fmt="decimal"/>
          <w:cols w:space="720" w:num="1"/>
          <w:titlePg/>
          <w:docGrid w:linePitch="312" w:charSpace="0"/>
        </w:sectPr>
      </w:pP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三-8、</w:t>
      </w:r>
      <w:r>
        <w:rPr>
          <w:rFonts w:cs="宋体" w:asciiTheme="minorEastAsia" w:hAnsiTheme="minorEastAsia" w:eastAsiaTheme="minorEastAsia"/>
          <w:b/>
          <w:color w:val="auto"/>
          <w:kern w:val="0"/>
          <w:sz w:val="28"/>
          <w:szCs w:val="28"/>
          <w:highlight w:val="none"/>
        </w:rPr>
        <w:t>联合体协议（若有）</w:t>
      </w:r>
    </w:p>
    <w:p>
      <w:pPr>
        <w:widowControl/>
        <w:spacing w:line="360" w:lineRule="auto"/>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致：</w:t>
      </w:r>
      <w:r>
        <w:rPr>
          <w:rFonts w:cs="宋体" w:asciiTheme="minorEastAsia" w:hAnsiTheme="minorEastAsia" w:eastAsiaTheme="minorEastAsia"/>
          <w:color w:val="auto"/>
          <w:kern w:val="0"/>
          <w:sz w:val="24"/>
          <w:highlight w:val="none"/>
          <w:u w:val="singl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兹有</w:t>
      </w:r>
      <w:r>
        <w:rPr>
          <w:rFonts w:cs="宋体" w:asciiTheme="minorEastAsia" w:hAnsiTheme="minorEastAsia" w:eastAsiaTheme="minorEastAsia"/>
          <w:color w:val="auto"/>
          <w:kern w:val="0"/>
          <w:sz w:val="24"/>
          <w:highlight w:val="none"/>
          <w:u w:val="single"/>
        </w:rPr>
        <w:t>（填写“联合体中各方的全称”，各方的全称之间请用“、”分割）</w:t>
      </w:r>
      <w:r>
        <w:rPr>
          <w:rFonts w:cs="宋体" w:asciiTheme="minorEastAsia" w:hAnsiTheme="minorEastAsia" w:eastAsiaTheme="minorEastAsia"/>
          <w:color w:val="auto"/>
          <w:kern w:val="0"/>
          <w:sz w:val="24"/>
          <w:highlight w:val="none"/>
        </w:rPr>
        <w:t>自愿组成联合体，共同参加</w:t>
      </w:r>
      <w:r>
        <w:rPr>
          <w:rFonts w:cs="宋体" w:asciiTheme="minorEastAsia" w:hAnsiTheme="minorEastAsia" w:eastAsiaTheme="minorEastAsia"/>
          <w:color w:val="auto"/>
          <w:kern w:val="0"/>
          <w:sz w:val="24"/>
          <w:highlight w:val="none"/>
          <w:u w:val="single"/>
        </w:rPr>
        <w:t>（填写“项目名称”） </w:t>
      </w:r>
      <w:r>
        <w:rPr>
          <w:rFonts w:cs="宋体" w:asciiTheme="minorEastAsia" w:hAnsiTheme="minorEastAsia" w:eastAsiaTheme="minorEastAsia"/>
          <w:color w:val="auto"/>
          <w:kern w:val="0"/>
          <w:sz w:val="24"/>
          <w:highlight w:val="none"/>
        </w:rPr>
        <w:t>项目（</w:t>
      </w:r>
      <w:r>
        <w:rPr>
          <w:rFonts w:hint="eastAsia" w:cs="宋体" w:asciiTheme="minorEastAsia" w:hAnsiTheme="minorEastAsia" w:eastAsiaTheme="minorEastAsia"/>
          <w:color w:val="auto"/>
          <w:kern w:val="0"/>
          <w:sz w:val="24"/>
          <w:highlight w:val="none"/>
        </w:rPr>
        <w:t>项目</w:t>
      </w:r>
      <w:r>
        <w:rPr>
          <w:rFonts w:cs="宋体" w:asciiTheme="minorEastAsia" w:hAnsiTheme="minorEastAsia" w:eastAsiaTheme="minorEastAsia"/>
          <w:color w:val="auto"/>
          <w:kern w:val="0"/>
          <w:sz w:val="24"/>
          <w:highlight w:val="none"/>
        </w:rPr>
        <w:t>编号：</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）的</w:t>
      </w:r>
      <w:r>
        <w:rPr>
          <w:rFonts w:hint="eastAsia" w:cs="宋体" w:asciiTheme="minorEastAsia" w:hAnsiTheme="minorEastAsia" w:eastAsiaTheme="minorEastAsia"/>
          <w:color w:val="auto"/>
          <w:kern w:val="0"/>
          <w:sz w:val="24"/>
          <w:highlight w:val="none"/>
        </w:rPr>
        <w:t>磋商</w:t>
      </w:r>
      <w:r>
        <w:rPr>
          <w:rFonts w:cs="宋体" w:asciiTheme="minorEastAsia" w:hAnsiTheme="minorEastAsia" w:eastAsiaTheme="minorEastAsia"/>
          <w:color w:val="auto"/>
          <w:kern w:val="0"/>
          <w:sz w:val="24"/>
          <w:highlight w:val="none"/>
        </w:rPr>
        <w:t>。现就联合体参加本项目</w:t>
      </w:r>
      <w:r>
        <w:rPr>
          <w:rFonts w:hint="eastAsia" w:cs="宋体" w:asciiTheme="minorEastAsia" w:hAnsiTheme="minorEastAsia" w:eastAsiaTheme="minorEastAsia"/>
          <w:color w:val="auto"/>
          <w:kern w:val="0"/>
          <w:sz w:val="24"/>
          <w:highlight w:val="none"/>
        </w:rPr>
        <w:t>磋商</w:t>
      </w:r>
      <w:r>
        <w:rPr>
          <w:rFonts w:cs="宋体" w:asciiTheme="minorEastAsia" w:hAnsiTheme="minorEastAsia" w:eastAsiaTheme="minorEastAsia"/>
          <w:color w:val="auto"/>
          <w:kern w:val="0"/>
          <w:sz w:val="24"/>
          <w:highlight w:val="none"/>
        </w:rPr>
        <w:t>的有关事宜达成下列协议：</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一、联合体各方应承担的工作和义务具体如下：</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1、牵头方（</w:t>
      </w:r>
      <w:r>
        <w:rPr>
          <w:rFonts w:cs="宋体" w:asciiTheme="minorEastAsia" w:hAnsiTheme="minorEastAsia" w:eastAsiaTheme="minorEastAsia"/>
          <w:color w:val="auto"/>
          <w:kern w:val="0"/>
          <w:sz w:val="24"/>
          <w:highlight w:val="none"/>
          <w:u w:val="single"/>
        </w:rPr>
        <w:t>全称</w:t>
      </w:r>
      <w:r>
        <w:rPr>
          <w:rFonts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u w:val="single"/>
        </w:rPr>
        <w:t> （填写“工作及义务的具体内容”） </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2、成员方：</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2.1</w:t>
      </w:r>
      <w:r>
        <w:rPr>
          <w:rFonts w:cs="宋体" w:asciiTheme="minorEastAsia" w:hAnsiTheme="minorEastAsia" w:eastAsiaTheme="minorEastAsia"/>
          <w:color w:val="auto"/>
          <w:kern w:val="0"/>
          <w:sz w:val="24"/>
          <w:highlight w:val="none"/>
          <w:u w:val="single"/>
        </w:rPr>
        <w:t>（成员一的全称）</w:t>
      </w:r>
      <w:r>
        <w:rPr>
          <w:rFonts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u w:val="single"/>
        </w:rPr>
        <w:t> （填写“工作及义务的具体内容”） </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Calibri"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【注：若承担的工作有资质要求的，须由具有该资质的成员方承担】</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二、联合体各方约定：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1、由</w:t>
      </w:r>
      <w:r>
        <w:rPr>
          <w:rFonts w:cs="宋体" w:asciiTheme="minorEastAsia" w:hAnsiTheme="minorEastAsia" w:eastAsiaTheme="minorEastAsia"/>
          <w:color w:val="auto"/>
          <w:kern w:val="0"/>
          <w:sz w:val="24"/>
          <w:highlight w:val="none"/>
          <w:u w:val="single"/>
        </w:rPr>
        <w:t>（填写“牵头方的全称”）</w:t>
      </w:r>
      <w:r>
        <w:rPr>
          <w:rFonts w:cs="宋体" w:asciiTheme="minorEastAsia" w:hAnsiTheme="minorEastAsia" w:eastAsiaTheme="minorEastAsia"/>
          <w:color w:val="auto"/>
          <w:kern w:val="0"/>
          <w:sz w:val="24"/>
          <w:highlight w:val="none"/>
        </w:rPr>
        <w:t>代表联合体办理参加本项目</w:t>
      </w:r>
      <w:r>
        <w:rPr>
          <w:rFonts w:hint="eastAsia" w:cs="宋体" w:asciiTheme="minorEastAsia" w:hAnsiTheme="minorEastAsia" w:eastAsiaTheme="minorEastAsia"/>
          <w:color w:val="auto"/>
          <w:kern w:val="0"/>
          <w:sz w:val="24"/>
          <w:highlight w:val="none"/>
        </w:rPr>
        <w:t>磋商</w:t>
      </w:r>
      <w:r>
        <w:rPr>
          <w:rFonts w:cs="宋体" w:asciiTheme="minorEastAsia" w:hAnsiTheme="minorEastAsia" w:eastAsiaTheme="minorEastAsia"/>
          <w:color w:val="auto"/>
          <w:kern w:val="0"/>
          <w:sz w:val="24"/>
          <w:highlight w:val="none"/>
        </w:rPr>
        <w:t>的有关事宜（包括但不限于：</w:t>
      </w:r>
      <w:r>
        <w:rPr>
          <w:rFonts w:hint="eastAsia" w:cs="宋体" w:asciiTheme="minorEastAsia" w:hAnsiTheme="minorEastAsia" w:eastAsiaTheme="minorEastAsia"/>
          <w:color w:val="auto"/>
          <w:kern w:val="0"/>
          <w:sz w:val="24"/>
          <w:highlight w:val="none"/>
        </w:rPr>
        <w:t>获取采购文件</w:t>
      </w:r>
      <w:r>
        <w:rPr>
          <w:rFonts w:cs="宋体" w:asciiTheme="minorEastAsia" w:hAnsiTheme="minorEastAsia" w:eastAsiaTheme="minorEastAsia"/>
          <w:color w:val="auto"/>
          <w:kern w:val="0"/>
          <w:sz w:val="24"/>
          <w:highlight w:val="none"/>
        </w:rPr>
        <w:t>、派出供应商代表、提交</w:t>
      </w:r>
      <w:r>
        <w:rPr>
          <w:rFonts w:hint="eastAsia" w:cs="宋体" w:asciiTheme="minorEastAsia" w:hAnsiTheme="minorEastAsia" w:eastAsiaTheme="minorEastAsia"/>
          <w:color w:val="auto"/>
          <w:kern w:val="0"/>
          <w:sz w:val="24"/>
          <w:highlight w:val="none"/>
        </w:rPr>
        <w:t>响应</w:t>
      </w:r>
      <w:r>
        <w:rPr>
          <w:rFonts w:cs="宋体" w:asciiTheme="minorEastAsia" w:hAnsiTheme="minorEastAsia" w:eastAsiaTheme="minorEastAsia"/>
          <w:color w:val="auto"/>
          <w:kern w:val="0"/>
          <w:sz w:val="24"/>
          <w:highlight w:val="none"/>
        </w:rPr>
        <w:t>文件及参加</w:t>
      </w:r>
      <w:r>
        <w:rPr>
          <w:rFonts w:hint="eastAsia" w:cs="宋体" w:asciiTheme="minorEastAsia" w:hAnsiTheme="minorEastAsia" w:eastAsiaTheme="minorEastAsia"/>
          <w:color w:val="auto"/>
          <w:kern w:val="0"/>
          <w:sz w:val="24"/>
          <w:highlight w:val="none"/>
        </w:rPr>
        <w:t>磋商</w:t>
      </w:r>
      <w:r>
        <w:rPr>
          <w:rFonts w:cs="宋体" w:asciiTheme="minorEastAsia" w:hAnsiTheme="minorEastAsia" w:eastAsiaTheme="minorEastAsia"/>
          <w:color w:val="auto"/>
          <w:kern w:val="0"/>
          <w:sz w:val="24"/>
          <w:highlight w:val="none"/>
        </w:rPr>
        <w:t>、澄清等），在此过程中，供应商代表签字的一切文件和处理结果，联合体均予以认可并对此承担责任。</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2、联合体各方约定由</w:t>
      </w:r>
      <w:r>
        <w:rPr>
          <w:rFonts w:cs="宋体" w:asciiTheme="minorEastAsia" w:hAnsiTheme="minorEastAsia" w:eastAsiaTheme="minorEastAsia"/>
          <w:color w:val="auto"/>
          <w:kern w:val="0"/>
          <w:sz w:val="24"/>
          <w:highlight w:val="none"/>
          <w:u w:val="single"/>
        </w:rPr>
        <w:t>（填写“</w:t>
      </w:r>
      <w:r>
        <w:rPr>
          <w:rFonts w:hint="eastAsia" w:cs="宋体" w:asciiTheme="minorEastAsia" w:hAnsiTheme="minorEastAsia" w:eastAsiaTheme="minorEastAsia"/>
          <w:color w:val="auto"/>
          <w:kern w:val="0"/>
          <w:sz w:val="24"/>
          <w:highlight w:val="none"/>
          <w:u w:val="single"/>
        </w:rPr>
        <w:t>公司</w:t>
      </w:r>
      <w:r>
        <w:rPr>
          <w:rFonts w:cs="宋体" w:asciiTheme="minorEastAsia" w:hAnsiTheme="minorEastAsia" w:eastAsiaTheme="minorEastAsia"/>
          <w:color w:val="auto"/>
          <w:kern w:val="0"/>
          <w:sz w:val="24"/>
          <w:highlight w:val="none"/>
          <w:u w:val="single"/>
        </w:rPr>
        <w:t>全称”）</w:t>
      </w:r>
      <w:r>
        <w:rPr>
          <w:rFonts w:cs="宋体" w:asciiTheme="minorEastAsia" w:hAnsiTheme="minorEastAsia" w:eastAsiaTheme="minorEastAsia"/>
          <w:color w:val="auto"/>
          <w:kern w:val="0"/>
          <w:sz w:val="24"/>
          <w:highlight w:val="none"/>
        </w:rPr>
        <w:t>代表联合体办理保证金事宜。</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3、本项目采用综合评分法，联合体只能确定由其中一方的条件参与商务部分的</w:t>
      </w:r>
      <w:r>
        <w:rPr>
          <w:rFonts w:hint="eastAsia" w:cs="宋体" w:asciiTheme="minorEastAsia" w:hAnsiTheme="minorEastAsia" w:eastAsiaTheme="minorEastAsia"/>
          <w:color w:val="auto"/>
          <w:kern w:val="0"/>
          <w:sz w:val="24"/>
          <w:highlight w:val="none"/>
        </w:rPr>
        <w:t>评审</w:t>
      </w:r>
      <w:r>
        <w:rPr>
          <w:rFonts w:cs="宋体" w:asciiTheme="minorEastAsia" w:hAnsiTheme="minorEastAsia" w:eastAsiaTheme="minorEastAsia"/>
          <w:color w:val="auto"/>
          <w:kern w:val="0"/>
          <w:sz w:val="24"/>
          <w:highlight w:val="none"/>
        </w:rPr>
        <w:t>。因此，联合体各方约定以</w:t>
      </w:r>
      <w:r>
        <w:rPr>
          <w:rFonts w:cs="宋体" w:asciiTheme="minorEastAsia" w:hAnsiTheme="minorEastAsia" w:eastAsiaTheme="minorEastAsia"/>
          <w:color w:val="auto"/>
          <w:kern w:val="0"/>
          <w:sz w:val="24"/>
          <w:highlight w:val="none"/>
          <w:u w:val="single"/>
        </w:rPr>
        <w:t>（应填写“其中一方的全称”，如：联合体确定以成员一的条件参与商务部分的评</w:t>
      </w:r>
      <w:r>
        <w:rPr>
          <w:rFonts w:hint="eastAsia" w:cs="宋体" w:asciiTheme="minorEastAsia" w:hAnsiTheme="minorEastAsia" w:eastAsiaTheme="minorEastAsia"/>
          <w:color w:val="auto"/>
          <w:kern w:val="0"/>
          <w:sz w:val="24"/>
          <w:highlight w:val="none"/>
          <w:u w:val="single"/>
        </w:rPr>
        <w:t>分</w:t>
      </w:r>
      <w:r>
        <w:rPr>
          <w:rFonts w:cs="宋体" w:asciiTheme="minorEastAsia" w:hAnsiTheme="minorEastAsia" w:eastAsiaTheme="minorEastAsia"/>
          <w:color w:val="auto"/>
          <w:kern w:val="0"/>
          <w:sz w:val="24"/>
          <w:highlight w:val="none"/>
          <w:u w:val="single"/>
        </w:rPr>
        <w:t>，则填写“成员一的全称”…；否则填写“无”）</w:t>
      </w:r>
      <w:r>
        <w:rPr>
          <w:rFonts w:cs="宋体" w:asciiTheme="minorEastAsia" w:hAnsiTheme="minorEastAsia" w:eastAsiaTheme="minorEastAsia"/>
          <w:color w:val="auto"/>
          <w:kern w:val="0"/>
          <w:sz w:val="24"/>
          <w:highlight w:val="none"/>
        </w:rPr>
        <w:t>的条件参与商务部分的</w:t>
      </w:r>
      <w:r>
        <w:rPr>
          <w:rFonts w:hint="eastAsia" w:cs="宋体" w:asciiTheme="minorEastAsia" w:hAnsiTheme="minorEastAsia" w:eastAsiaTheme="minorEastAsia"/>
          <w:color w:val="auto"/>
          <w:kern w:val="0"/>
          <w:sz w:val="24"/>
          <w:highlight w:val="none"/>
        </w:rPr>
        <w:t>评审</w:t>
      </w: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三、若</w:t>
      </w:r>
      <w:r>
        <w:rPr>
          <w:rFonts w:hint="eastAsia" w:cs="宋体" w:asciiTheme="minorEastAsia" w:hAnsiTheme="minorEastAsia" w:eastAsiaTheme="minorEastAsia"/>
          <w:color w:val="auto"/>
          <w:kern w:val="0"/>
          <w:sz w:val="24"/>
          <w:highlight w:val="none"/>
        </w:rPr>
        <w:t>成交</w:t>
      </w:r>
      <w:r>
        <w:rPr>
          <w:rFonts w:cs="宋体" w:asciiTheme="minorEastAsia" w:hAnsiTheme="minorEastAsia" w:eastAsiaTheme="minorEastAsia"/>
          <w:color w:val="auto"/>
          <w:kern w:val="0"/>
          <w:sz w:val="24"/>
          <w:highlight w:val="none"/>
        </w:rPr>
        <w:t>，牵头方将代表联合体与采购人就合同签订事宜进行协商；若协商一致，则联合体各方将共同与采购人签订采购合同，并就采购合同约定的事项对采购人承担连带责任。</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四、本协议自签署之日起生效，采购合同履行完毕后自动失效。</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五、本协议一式</w:t>
      </w:r>
      <w:r>
        <w:rPr>
          <w:rFonts w:cs="宋体" w:asciiTheme="minorEastAsia" w:hAnsiTheme="minorEastAsia" w:eastAsiaTheme="minorEastAsia"/>
          <w:color w:val="auto"/>
          <w:kern w:val="0"/>
          <w:sz w:val="24"/>
          <w:highlight w:val="none"/>
          <w:u w:val="single"/>
        </w:rPr>
        <w:t>（填写具体份数）</w:t>
      </w:r>
      <w:r>
        <w:rPr>
          <w:rFonts w:cs="宋体" w:asciiTheme="minorEastAsia" w:hAnsiTheme="minorEastAsia" w:eastAsiaTheme="minorEastAsia"/>
          <w:color w:val="auto"/>
          <w:kern w:val="0"/>
          <w:sz w:val="24"/>
          <w:highlight w:val="none"/>
        </w:rPr>
        <w:t>份，联合体各方各执一份，</w:t>
      </w:r>
      <w:r>
        <w:rPr>
          <w:rFonts w:hint="eastAsia" w:cs="宋体" w:asciiTheme="minorEastAsia" w:hAnsiTheme="minorEastAsia" w:eastAsiaTheme="minorEastAsia"/>
          <w:color w:val="auto"/>
          <w:kern w:val="0"/>
          <w:sz w:val="24"/>
          <w:highlight w:val="none"/>
        </w:rPr>
        <w:t>响应</w:t>
      </w:r>
      <w:r>
        <w:rPr>
          <w:rFonts w:cs="宋体" w:asciiTheme="minorEastAsia" w:hAnsiTheme="minorEastAsia" w:eastAsiaTheme="minorEastAsia"/>
          <w:color w:val="auto"/>
          <w:kern w:val="0"/>
          <w:sz w:val="24"/>
          <w:highlight w:val="none"/>
        </w:rPr>
        <w:t>文件中提交一份。</w:t>
      </w:r>
    </w:p>
    <w:p>
      <w:pPr>
        <w:widowControl/>
        <w:spacing w:line="360" w:lineRule="auto"/>
        <w:ind w:firstLine="480" w:firstLineChars="200"/>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（以下无正文）</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牵头方：</w:t>
      </w:r>
      <w:r>
        <w:rPr>
          <w:rFonts w:cs="宋体" w:asciiTheme="minorEastAsia" w:hAnsiTheme="minorEastAsia" w:eastAsiaTheme="minorEastAsia"/>
          <w:color w:val="auto"/>
          <w:kern w:val="0"/>
          <w:sz w:val="24"/>
          <w:highlight w:val="none"/>
          <w:u w:val="single"/>
        </w:rPr>
        <w:t>（全称并加盖单位公章）</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法定代表人或其委托代理人：</w:t>
      </w:r>
      <w:r>
        <w:rPr>
          <w:rFonts w:cs="宋体" w:asciiTheme="minorEastAsia" w:hAnsiTheme="minorEastAsia" w:eastAsiaTheme="minorEastAsia"/>
          <w:color w:val="auto"/>
          <w:kern w:val="0"/>
          <w:sz w:val="24"/>
          <w:highlight w:val="none"/>
          <w:u w:val="single"/>
        </w:rPr>
        <w:t>  （签字或盖章）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成员一：</w:t>
      </w:r>
      <w:r>
        <w:rPr>
          <w:rFonts w:cs="宋体" w:asciiTheme="minorEastAsia" w:hAnsiTheme="minorEastAsia" w:eastAsiaTheme="minorEastAsia"/>
          <w:color w:val="auto"/>
          <w:kern w:val="0"/>
          <w:sz w:val="24"/>
          <w:highlight w:val="none"/>
          <w:u w:val="single"/>
        </w:rPr>
        <w:t>（全称并加盖成员一的单位公章）</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法定代表人或其委托代理人：</w:t>
      </w:r>
      <w:r>
        <w:rPr>
          <w:rFonts w:cs="宋体" w:asciiTheme="minorEastAsia" w:hAnsiTheme="minorEastAsia" w:eastAsiaTheme="minorEastAsia"/>
          <w:color w:val="auto"/>
          <w:kern w:val="0"/>
          <w:sz w:val="24"/>
          <w:highlight w:val="none"/>
          <w:u w:val="single"/>
        </w:rPr>
        <w:t>  （签字或盖章）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Calibri" w:asciiTheme="minorEastAsia" w:hAnsiTheme="minorEastAsia" w:eastAsiaTheme="minorEastAsia"/>
          <w:color w:val="auto"/>
          <w:kern w:val="0"/>
          <w:sz w:val="24"/>
          <w:highlight w:val="none"/>
        </w:rPr>
        <w:t>成员</w:t>
      </w:r>
      <w:r>
        <w:rPr>
          <w:rFonts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u w:val="single"/>
        </w:rPr>
        <w:t>（全称并加盖成员**的单位公章）</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法定代表人或其委托代理人：</w:t>
      </w:r>
      <w:r>
        <w:rPr>
          <w:rFonts w:cs="宋体" w:asciiTheme="minorEastAsia" w:hAnsiTheme="minorEastAsia" w:eastAsiaTheme="minorEastAsia"/>
          <w:color w:val="auto"/>
          <w:kern w:val="0"/>
          <w:sz w:val="24"/>
          <w:highlight w:val="none"/>
          <w:u w:val="single"/>
        </w:rPr>
        <w:t>  （签字或盖章）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p>
    <w:p>
      <w:pPr>
        <w:widowControl/>
        <w:spacing w:line="360" w:lineRule="auto"/>
        <w:ind w:firstLine="480" w:firstLineChars="200"/>
        <w:jc w:val="righ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签署日期：</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日</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注意：</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1、磋商文件接受联合体</w:t>
      </w:r>
      <w:r>
        <w:rPr>
          <w:rFonts w:hint="eastAsia" w:cs="宋体" w:asciiTheme="minorEastAsia" w:hAnsiTheme="minorEastAsia" w:eastAsiaTheme="minorEastAsia"/>
          <w:color w:val="auto"/>
          <w:kern w:val="0"/>
          <w:sz w:val="24"/>
          <w:highlight w:val="none"/>
        </w:rPr>
        <w:t>磋商</w:t>
      </w:r>
      <w:r>
        <w:rPr>
          <w:rFonts w:cs="宋体" w:asciiTheme="minorEastAsia" w:hAnsiTheme="minorEastAsia" w:eastAsiaTheme="minorEastAsia"/>
          <w:color w:val="auto"/>
          <w:kern w:val="0"/>
          <w:sz w:val="24"/>
          <w:highlight w:val="none"/>
        </w:rPr>
        <w:t>且供应商为联合体的，供应商应提供本协议；否则无须提供。</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2、本协议由委托代理人签字或盖章的，应按照本章载明的格式提供“单位负责人授权书”。</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3、纸质</w:t>
      </w:r>
      <w:r>
        <w:rPr>
          <w:rFonts w:hint="eastAsia" w:cs="宋体" w:asciiTheme="minorEastAsia" w:hAnsiTheme="minorEastAsia" w:eastAsiaTheme="minorEastAsia"/>
          <w:color w:val="auto"/>
          <w:kern w:val="0"/>
          <w:sz w:val="24"/>
          <w:highlight w:val="none"/>
        </w:rPr>
        <w:t>响应</w:t>
      </w:r>
      <w:r>
        <w:rPr>
          <w:rFonts w:cs="宋体" w:asciiTheme="minorEastAsia" w:hAnsiTheme="minorEastAsia" w:eastAsiaTheme="minorEastAsia"/>
          <w:color w:val="auto"/>
          <w:kern w:val="0"/>
          <w:sz w:val="24"/>
          <w:highlight w:val="none"/>
        </w:rPr>
        <w:t>文件正本中的本协议（若有）应为原件。</w:t>
      </w:r>
    </w:p>
    <w:p>
      <w:pPr>
        <w:rPr>
          <w:color w:val="auto"/>
          <w:kern w:val="0"/>
          <w:highlight w:val="none"/>
        </w:rPr>
        <w:sectPr>
          <w:pgSz w:w="11906" w:h="16838"/>
          <w:pgMar w:top="1418" w:right="1418" w:bottom="1418" w:left="1418" w:header="851" w:footer="992" w:gutter="0"/>
          <w:pgNumType w:fmt="decimal"/>
          <w:cols w:space="720" w:num="1"/>
          <w:titlePg/>
          <w:docGrid w:linePitch="312" w:charSpace="0"/>
        </w:sectPr>
      </w:pPr>
      <w:r>
        <w:rPr>
          <w:color w:val="auto"/>
          <w:kern w:val="0"/>
          <w:highlight w:val="none"/>
        </w:rPr>
        <w:t> </w:t>
      </w: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三-9、</w:t>
      </w:r>
      <w:r>
        <w:rPr>
          <w:rFonts w:cs="宋体" w:asciiTheme="minorEastAsia" w:hAnsiTheme="minorEastAsia" w:eastAsiaTheme="minorEastAsia"/>
          <w:b/>
          <w:color w:val="auto"/>
          <w:kern w:val="0"/>
          <w:sz w:val="28"/>
          <w:szCs w:val="28"/>
          <w:highlight w:val="none"/>
        </w:rPr>
        <w:t>其他资格证明文件（若有）</w:t>
      </w:r>
    </w:p>
    <w:p>
      <w:pPr>
        <w:widowControl/>
        <w:spacing w:before="100" w:beforeAutospacing="1" w:after="100" w:afterAutospacing="1"/>
        <w:jc w:val="center"/>
        <w:rPr>
          <w:rFonts w:ascii="宋体" w:hAnsi="宋体" w:cs="宋体"/>
          <w:color w:val="auto"/>
          <w:kern w:val="0"/>
          <w:sz w:val="24"/>
          <w:highlight w:val="none"/>
        </w:rPr>
      </w:pPr>
      <w:r>
        <w:rPr>
          <w:rFonts w:ascii="宋体" w:hAnsi="宋体" w:cs="宋体"/>
          <w:color w:val="auto"/>
          <w:kern w:val="0"/>
          <w:sz w:val="16"/>
          <w:szCs w:val="16"/>
          <w:highlight w:val="none"/>
        </w:rPr>
        <w:t> </w:t>
      </w: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三-9</w:t>
      </w:r>
      <w:r>
        <w:rPr>
          <w:rFonts w:cs="宋体" w:asciiTheme="minorEastAsia" w:hAnsiTheme="minorEastAsia" w:eastAsiaTheme="minorEastAsia"/>
          <w:b/>
          <w:color w:val="auto"/>
          <w:kern w:val="0"/>
          <w:sz w:val="28"/>
          <w:szCs w:val="28"/>
          <w:highlight w:val="none"/>
        </w:rPr>
        <w:t>-</w:t>
      </w:r>
      <w:r>
        <w:rPr>
          <w:rFonts w:hint="eastAsia" w:cs="宋体" w:asciiTheme="minorEastAsia" w:hAnsiTheme="minorEastAsia" w:eastAsiaTheme="minorEastAsia"/>
          <w:b/>
          <w:color w:val="auto"/>
          <w:kern w:val="0"/>
          <w:sz w:val="28"/>
          <w:szCs w:val="28"/>
          <w:highlight w:val="none"/>
        </w:rPr>
        <w:t>①</w:t>
      </w:r>
      <w:r>
        <w:rPr>
          <w:rFonts w:cs="宋体" w:asciiTheme="minorEastAsia" w:hAnsiTheme="minorEastAsia" w:eastAsiaTheme="minorEastAsia"/>
          <w:b/>
          <w:color w:val="auto"/>
          <w:kern w:val="0"/>
          <w:sz w:val="28"/>
          <w:szCs w:val="28"/>
          <w:highlight w:val="none"/>
        </w:rPr>
        <w:t>具备履行合同所必需设备和专业技术能力专项证明材料（若有）</w:t>
      </w:r>
    </w:p>
    <w:p>
      <w:pPr>
        <w:widowControl/>
        <w:spacing w:line="360" w:lineRule="auto"/>
        <w:jc w:val="left"/>
        <w:rPr>
          <w:rFonts w:cs="宋体" w:asciiTheme="minorEastAsia" w:hAnsiTheme="minorEastAsia" w:eastAsiaTheme="minorEastAsia"/>
          <w:color w:val="auto"/>
          <w:kern w:val="0"/>
          <w:sz w:val="24"/>
          <w:highlight w:val="none"/>
        </w:rPr>
      </w:pPr>
    </w:p>
    <w:p>
      <w:pPr>
        <w:widowControl/>
        <w:spacing w:line="360" w:lineRule="auto"/>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致：</w:t>
      </w:r>
      <w:r>
        <w:rPr>
          <w:rFonts w:cs="宋体" w:asciiTheme="minorEastAsia" w:hAnsiTheme="minorEastAsia" w:eastAsiaTheme="minorEastAsia"/>
          <w:color w:val="auto"/>
          <w:kern w:val="0"/>
          <w:sz w:val="24"/>
          <w:highlight w:val="none"/>
          <w:u w:val="singl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现附上我方具备履行合同所</w:t>
      </w:r>
      <w:r>
        <w:rPr>
          <w:rFonts w:cs="Calibri" w:asciiTheme="minorEastAsia" w:hAnsiTheme="minorEastAsia" w:eastAsiaTheme="minorEastAsia"/>
          <w:color w:val="auto"/>
          <w:kern w:val="0"/>
          <w:sz w:val="24"/>
          <w:highlight w:val="none"/>
        </w:rPr>
        <w:t>必需的设备和专业技术能力</w:t>
      </w:r>
      <w:r>
        <w:rPr>
          <w:rFonts w:cs="宋体" w:asciiTheme="minorEastAsia" w:hAnsiTheme="minorEastAsia" w:eastAsiaTheme="minorEastAsia"/>
          <w:color w:val="auto"/>
          <w:kern w:val="0"/>
          <w:sz w:val="24"/>
          <w:highlight w:val="none"/>
        </w:rPr>
        <w:t>的专项证明材料复印件（具体附后），上述证明材料真实有效，否则我方负全部责任。</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Calibri"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注意：</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rPr>
        <w:t>磋商</w:t>
      </w:r>
      <w:r>
        <w:rPr>
          <w:rFonts w:cs="宋体" w:asciiTheme="minorEastAsia" w:hAnsiTheme="minorEastAsia" w:eastAsiaTheme="minorEastAsia"/>
          <w:color w:val="auto"/>
          <w:kern w:val="0"/>
          <w:sz w:val="24"/>
          <w:highlight w:val="none"/>
        </w:rPr>
        <w:t>文件要求供应商提供“具备履行合同所必需的设备和专业技术能力专项证明材料”的，供应商应按照</w:t>
      </w:r>
      <w:r>
        <w:rPr>
          <w:rFonts w:hint="eastAsia" w:cs="宋体" w:asciiTheme="minorEastAsia" w:hAnsiTheme="minorEastAsia" w:eastAsiaTheme="minorEastAsia"/>
          <w:color w:val="auto"/>
          <w:kern w:val="0"/>
          <w:sz w:val="24"/>
          <w:highlight w:val="none"/>
        </w:rPr>
        <w:t>磋商</w:t>
      </w:r>
      <w:r>
        <w:rPr>
          <w:rFonts w:cs="宋体" w:asciiTheme="minorEastAsia" w:hAnsiTheme="minorEastAsia" w:eastAsiaTheme="minorEastAsia"/>
          <w:color w:val="auto"/>
          <w:kern w:val="0"/>
          <w:sz w:val="24"/>
          <w:highlight w:val="none"/>
        </w:rPr>
        <w:t>文件规定在此项下提供相应证明材料复印件。</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2、供应商提供的相应证明材料复印件均应符合：内容完整、清晰、整洁，并由供应商加盖其单位公章。</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Calibri"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Calibri" w:asciiTheme="minorEastAsia" w:hAnsiTheme="minorEastAsia" w:eastAsiaTheme="minorEastAsia"/>
          <w:color w:val="auto"/>
          <w:kern w:val="0"/>
          <w:sz w:val="24"/>
          <w:highlight w:val="non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供应商：</w:t>
      </w:r>
      <w:r>
        <w:rPr>
          <w:rFonts w:cs="宋体" w:asciiTheme="minorEastAsia" w:hAnsiTheme="minorEastAsia" w:eastAsiaTheme="minorEastAsia"/>
          <w:color w:val="auto"/>
          <w:kern w:val="0"/>
          <w:sz w:val="24"/>
          <w:highlight w:val="none"/>
          <w:u w:val="single"/>
        </w:rPr>
        <w:t>（全称并加盖单位公章）</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供应商代表签字：</w:t>
      </w:r>
      <w:r>
        <w:rPr>
          <w:rFonts w:cs="宋体" w:asciiTheme="minorEastAsia" w:hAnsiTheme="minorEastAsia" w:eastAsiaTheme="minorEastAsia"/>
          <w:color w:val="auto"/>
          <w:kern w:val="0"/>
          <w:sz w:val="24"/>
          <w:highlight w:val="none"/>
          <w:u w:val="single"/>
        </w:rPr>
        <w:t>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日期：</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w:t>
      </w:r>
      <w:r>
        <w:rPr>
          <w:rFonts w:cs="宋体" w:asciiTheme="minorEastAsia" w:hAnsiTheme="minorEastAsia" w:eastAsiaTheme="minorEastAsia"/>
          <w:color w:val="auto"/>
          <w:kern w:val="0"/>
          <w:sz w:val="24"/>
          <w:highlight w:val="none"/>
        </w:rPr>
        <w:t>日</w:t>
      </w:r>
    </w:p>
    <w:p>
      <w:pPr>
        <w:rPr>
          <w:color w:val="auto"/>
          <w:kern w:val="0"/>
          <w:highlight w:val="none"/>
        </w:rPr>
        <w:sectPr>
          <w:pgSz w:w="11906" w:h="16838"/>
          <w:pgMar w:top="1418" w:right="1418" w:bottom="1418" w:left="1418" w:header="851" w:footer="992" w:gutter="0"/>
          <w:pgNumType w:fmt="decimal"/>
          <w:cols w:space="720" w:num="1"/>
          <w:titlePg/>
          <w:docGrid w:linePitch="312" w:charSpace="0"/>
        </w:sectPr>
      </w:pPr>
      <w:r>
        <w:rPr>
          <w:color w:val="auto"/>
          <w:kern w:val="0"/>
          <w:highlight w:val="none"/>
        </w:rPr>
        <w:t> </w:t>
      </w: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三-9-②磋商</w:t>
      </w:r>
      <w:r>
        <w:rPr>
          <w:rFonts w:cs="宋体" w:asciiTheme="minorEastAsia" w:hAnsiTheme="minorEastAsia" w:eastAsiaTheme="minorEastAsia"/>
          <w:b/>
          <w:color w:val="auto"/>
          <w:kern w:val="0"/>
          <w:sz w:val="28"/>
          <w:szCs w:val="28"/>
          <w:highlight w:val="none"/>
        </w:rPr>
        <w:t>文件规定的其他资格证明文件（若有）</w:t>
      </w:r>
    </w:p>
    <w:p>
      <w:pPr>
        <w:widowControl/>
        <w:spacing w:line="360" w:lineRule="auto"/>
        <w:ind w:firstLine="562" w:firstLineChars="200"/>
        <w:jc w:val="left"/>
        <w:rPr>
          <w:rFonts w:ascii="宋体" w:hAnsi="宋体" w:cs="宋体"/>
          <w:color w:val="auto"/>
          <w:kern w:val="0"/>
          <w:sz w:val="28"/>
          <w:szCs w:val="28"/>
          <w:highlight w:val="none"/>
        </w:rPr>
      </w:pPr>
      <w:r>
        <w:rPr>
          <w:rFonts w:ascii="宋体" w:hAnsi="宋体" w:cs="宋体"/>
          <w:b/>
          <w:bCs/>
          <w:color w:val="auto"/>
          <w:kern w:val="0"/>
          <w:sz w:val="28"/>
          <w:szCs w:val="28"/>
          <w:highlight w:val="none"/>
        </w:rPr>
        <w:t> </w:t>
      </w:r>
    </w:p>
    <w:p>
      <w:pPr>
        <w:widowControl/>
        <w:spacing w:line="360" w:lineRule="auto"/>
        <w:jc w:val="center"/>
        <w:rPr>
          <w:rFonts w:ascii="宋体" w:hAnsi="宋体" w:cs="宋体"/>
          <w:color w:val="auto"/>
          <w:kern w:val="0"/>
          <w:sz w:val="28"/>
          <w:szCs w:val="28"/>
          <w:highlight w:val="none"/>
        </w:rPr>
      </w:pPr>
      <w:r>
        <w:rPr>
          <w:rFonts w:ascii="宋体" w:hAnsi="宋体" w:cs="宋体"/>
          <w:color w:val="auto"/>
          <w:kern w:val="0"/>
          <w:sz w:val="28"/>
          <w:szCs w:val="28"/>
          <w:highlight w:val="none"/>
        </w:rPr>
        <w:t>编制说明</w:t>
      </w:r>
    </w:p>
    <w:p>
      <w:pPr>
        <w:widowControl/>
        <w:spacing w:line="360" w:lineRule="auto"/>
        <w:ind w:firstLine="560" w:firstLineChars="200"/>
        <w:jc w:val="center"/>
        <w:rPr>
          <w:rFonts w:ascii="宋体" w:hAnsi="宋体" w:cs="宋体"/>
          <w:color w:val="auto"/>
          <w:kern w:val="0"/>
          <w:sz w:val="28"/>
          <w:szCs w:val="28"/>
          <w:highlight w:val="none"/>
        </w:rPr>
      </w:pPr>
      <w:r>
        <w:rPr>
          <w:rFonts w:ascii="宋体" w:hAnsi="宋体" w:cs="宋体"/>
          <w:color w:val="auto"/>
          <w:kern w:val="0"/>
          <w:sz w:val="28"/>
          <w:szCs w:val="28"/>
          <w:highlight w:val="none"/>
        </w:rPr>
        <w:t> </w:t>
      </w:r>
    </w:p>
    <w:p>
      <w:pPr>
        <w:widowControl/>
        <w:spacing w:line="360" w:lineRule="auto"/>
        <w:ind w:firstLine="560" w:firstLineChars="200"/>
        <w:jc w:val="left"/>
        <w:rPr>
          <w:rFonts w:ascii="宋体" w:hAnsi="宋体" w:cs="宋体"/>
          <w:color w:val="auto"/>
          <w:kern w:val="0"/>
          <w:sz w:val="28"/>
          <w:szCs w:val="28"/>
          <w:highlight w:val="none"/>
        </w:rPr>
      </w:pPr>
      <w:r>
        <w:rPr>
          <w:rFonts w:ascii="宋体" w:hAnsi="宋体" w:cs="宋体"/>
          <w:color w:val="auto"/>
          <w:kern w:val="0"/>
          <w:sz w:val="28"/>
          <w:szCs w:val="28"/>
          <w:highlight w:val="none"/>
        </w:rPr>
        <w:t>除</w:t>
      </w:r>
      <w:r>
        <w:rPr>
          <w:rFonts w:hint="eastAsia" w:ascii="宋体" w:hAnsi="宋体" w:cs="宋体"/>
          <w:color w:val="auto"/>
          <w:kern w:val="0"/>
          <w:sz w:val="28"/>
          <w:szCs w:val="28"/>
          <w:highlight w:val="none"/>
        </w:rPr>
        <w:t>磋商</w:t>
      </w:r>
      <w:r>
        <w:rPr>
          <w:rFonts w:ascii="宋体" w:hAnsi="宋体" w:cs="宋体"/>
          <w:color w:val="auto"/>
          <w:kern w:val="0"/>
          <w:sz w:val="28"/>
          <w:szCs w:val="28"/>
          <w:highlight w:val="none"/>
        </w:rPr>
        <w:t>文件另有规定外，</w:t>
      </w:r>
      <w:r>
        <w:rPr>
          <w:rFonts w:hint="eastAsia" w:ascii="宋体" w:hAnsi="宋体" w:cs="宋体"/>
          <w:color w:val="auto"/>
          <w:kern w:val="0"/>
          <w:sz w:val="28"/>
          <w:szCs w:val="28"/>
          <w:highlight w:val="none"/>
        </w:rPr>
        <w:t>磋商</w:t>
      </w:r>
      <w:r>
        <w:rPr>
          <w:rFonts w:ascii="宋体" w:hAnsi="宋体" w:cs="宋体"/>
          <w:color w:val="auto"/>
          <w:kern w:val="0"/>
          <w:sz w:val="28"/>
          <w:szCs w:val="28"/>
          <w:highlight w:val="none"/>
        </w:rPr>
        <w:t>文件要求提交的除前述资格证明文件外的其他资格证明文件（若有）加盖供应商的单位公章后应在此项下提交。</w:t>
      </w:r>
    </w:p>
    <w:p>
      <w:pPr>
        <w:rPr>
          <w:color w:val="auto"/>
          <w:kern w:val="0"/>
          <w:highlight w:val="none"/>
        </w:rPr>
        <w:sectPr>
          <w:pgSz w:w="11906" w:h="16838"/>
          <w:pgMar w:top="1418" w:right="1418" w:bottom="1418" w:left="1418" w:header="851" w:footer="992" w:gutter="0"/>
          <w:pgNumType w:fmt="decimal"/>
          <w:cols w:space="720" w:num="1"/>
          <w:titlePg/>
          <w:docGrid w:linePitch="312" w:charSpace="0"/>
        </w:sectPr>
      </w:pPr>
      <w:r>
        <w:rPr>
          <w:color w:val="auto"/>
          <w:kern w:val="0"/>
          <w:highlight w:val="none"/>
        </w:rPr>
        <w:t> </w:t>
      </w: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cs="宋体" w:asciiTheme="minorEastAsia" w:hAnsiTheme="minorEastAsia" w:eastAsiaTheme="minorEastAsia"/>
          <w:b/>
          <w:color w:val="auto"/>
          <w:kern w:val="0"/>
          <w:sz w:val="28"/>
          <w:szCs w:val="28"/>
          <w:highlight w:val="none"/>
        </w:rPr>
        <w:t>四</w:t>
      </w:r>
      <w:r>
        <w:rPr>
          <w:rFonts w:hint="eastAsia" w:cs="宋体" w:asciiTheme="minorEastAsia" w:hAnsiTheme="minorEastAsia" w:eastAsiaTheme="minorEastAsia"/>
          <w:b/>
          <w:color w:val="auto"/>
          <w:kern w:val="0"/>
          <w:sz w:val="28"/>
          <w:szCs w:val="28"/>
          <w:highlight w:val="none"/>
        </w:rPr>
        <w:t>、</w:t>
      </w:r>
      <w:r>
        <w:rPr>
          <w:rFonts w:cs="宋体" w:asciiTheme="minorEastAsia" w:hAnsiTheme="minorEastAsia" w:eastAsiaTheme="minorEastAsia"/>
          <w:b/>
          <w:color w:val="auto"/>
          <w:kern w:val="0"/>
          <w:sz w:val="28"/>
          <w:szCs w:val="28"/>
          <w:highlight w:val="none"/>
        </w:rPr>
        <w:t>磋商保证金凭证</w:t>
      </w:r>
    </w:p>
    <w:p>
      <w:pPr>
        <w:widowControl/>
        <w:spacing w:before="50" w:after="50"/>
        <w:jc w:val="center"/>
        <w:rPr>
          <w:rFonts w:ascii="宋体" w:hAnsi="宋体" w:cs="宋体"/>
          <w:color w:val="auto"/>
          <w:kern w:val="0"/>
          <w:sz w:val="28"/>
          <w:szCs w:val="28"/>
          <w:highlight w:val="none"/>
        </w:rPr>
      </w:pPr>
    </w:p>
    <w:p>
      <w:pPr>
        <w:widowControl/>
        <w:spacing w:before="50" w:after="160"/>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根据磋商文件要求提供相应证明</w:t>
      </w:r>
    </w:p>
    <w:p>
      <w:pPr>
        <w:widowControl/>
        <w:spacing w:before="50" w:after="50" w:line="290" w:lineRule="atLeast"/>
        <w:rPr>
          <w:rFonts w:ascii="宋体" w:hAnsi="宋体" w:cs="宋体"/>
          <w:color w:val="auto"/>
          <w:kern w:val="0"/>
          <w:sz w:val="28"/>
          <w:szCs w:val="28"/>
          <w:highlight w:val="none"/>
        </w:rPr>
        <w:sectPr>
          <w:pgSz w:w="11906" w:h="16838"/>
          <w:pgMar w:top="1418" w:right="1418" w:bottom="1418" w:left="1418" w:header="851" w:footer="992" w:gutter="0"/>
          <w:pgNumType w:fmt="decimal"/>
          <w:cols w:space="720" w:num="1"/>
          <w:titlePg/>
          <w:docGrid w:linePitch="312" w:charSpace="0"/>
        </w:sectPr>
      </w:pP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五、</w:t>
      </w:r>
      <w:r>
        <w:rPr>
          <w:rFonts w:cs="宋体" w:asciiTheme="minorEastAsia" w:hAnsiTheme="minorEastAsia" w:eastAsiaTheme="minorEastAsia"/>
          <w:b/>
          <w:color w:val="auto"/>
          <w:kern w:val="0"/>
          <w:sz w:val="28"/>
          <w:szCs w:val="28"/>
          <w:highlight w:val="none"/>
        </w:rPr>
        <w:t>技术和</w:t>
      </w:r>
      <w:r>
        <w:rPr>
          <w:rFonts w:hint="eastAsia" w:cs="宋体" w:asciiTheme="minorEastAsia" w:hAnsiTheme="minorEastAsia" w:eastAsiaTheme="minorEastAsia"/>
          <w:b/>
          <w:color w:val="auto"/>
          <w:kern w:val="0"/>
          <w:sz w:val="28"/>
          <w:szCs w:val="28"/>
          <w:highlight w:val="none"/>
        </w:rPr>
        <w:t>商务偏离</w:t>
      </w:r>
      <w:r>
        <w:rPr>
          <w:rFonts w:cs="宋体" w:asciiTheme="minorEastAsia" w:hAnsiTheme="minorEastAsia" w:eastAsiaTheme="minorEastAsia"/>
          <w:b/>
          <w:color w:val="auto"/>
          <w:kern w:val="0"/>
          <w:sz w:val="28"/>
          <w:szCs w:val="28"/>
          <w:highlight w:val="none"/>
        </w:rPr>
        <w:t>表</w:t>
      </w:r>
    </w:p>
    <w:p>
      <w:pPr>
        <w:widowControl/>
        <w:spacing w:before="50" w:after="50" w:line="360" w:lineRule="auto"/>
        <w:jc w:val="left"/>
        <w:rPr>
          <w:rFonts w:ascii="宋体" w:hAnsi="宋体" w:cs="宋体"/>
          <w:color w:val="auto"/>
          <w:kern w:val="0"/>
          <w:sz w:val="24"/>
          <w:highlight w:val="none"/>
        </w:rPr>
      </w:pPr>
      <w:r>
        <w:rPr>
          <w:rFonts w:ascii="宋体" w:hAnsi="宋体" w:cs="宋体"/>
          <w:color w:val="auto"/>
          <w:kern w:val="0"/>
          <w:sz w:val="24"/>
          <w:highlight w:val="none"/>
        </w:rPr>
        <w:t>项目编号</w:t>
      </w:r>
      <w:r>
        <w:rPr>
          <w:rFonts w:hint="eastAsia" w:ascii="宋体" w:hAnsi="宋体" w:cs="宋体"/>
          <w:color w:val="auto"/>
          <w:kern w:val="0"/>
          <w:sz w:val="24"/>
          <w:highlight w:val="none"/>
        </w:rPr>
        <w:t>：</w:t>
      </w:r>
      <w:r>
        <w:rPr>
          <w:rFonts w:ascii="宋体" w:hAnsi="宋体" w:cs="宋体"/>
          <w:color w:val="auto"/>
          <w:kern w:val="0"/>
          <w:sz w:val="24"/>
          <w:highlight w:val="none"/>
          <w:u w:val="single"/>
        </w:rPr>
        <w:t>  </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w:t>
      </w:r>
    </w:p>
    <w:tbl>
      <w:tblPr>
        <w:tblStyle w:val="40"/>
        <w:tblW w:w="9234" w:type="dxa"/>
        <w:jc w:val="center"/>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autofit"/>
        <w:tblCellMar>
          <w:top w:w="15" w:type="dxa"/>
          <w:left w:w="15" w:type="dxa"/>
          <w:bottom w:w="15" w:type="dxa"/>
          <w:right w:w="15" w:type="dxa"/>
        </w:tblCellMar>
      </w:tblPr>
      <w:tblGrid>
        <w:gridCol w:w="1075"/>
        <w:gridCol w:w="1842"/>
        <w:gridCol w:w="2835"/>
        <w:gridCol w:w="2268"/>
        <w:gridCol w:w="1214"/>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075"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spacing w:line="250" w:lineRule="atLeast"/>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合同包</w:t>
            </w:r>
          </w:p>
        </w:tc>
        <w:tc>
          <w:tcPr>
            <w:tcW w:w="1842" w:type="dxa"/>
            <w:tcBorders>
              <w:top w:val="single" w:color="000000" w:sz="4" w:space="0"/>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spacing w:line="250" w:lineRule="atLeast"/>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章节条目号</w:t>
            </w:r>
          </w:p>
        </w:tc>
        <w:tc>
          <w:tcPr>
            <w:tcW w:w="2835" w:type="dxa"/>
            <w:tcBorders>
              <w:top w:val="single" w:color="000000" w:sz="4" w:space="0"/>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spacing w:line="250" w:lineRule="atLeast"/>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竞争性磋商文件规定的</w:t>
            </w:r>
          </w:p>
          <w:p>
            <w:pPr>
              <w:widowControl/>
              <w:spacing w:line="250" w:lineRule="atLeast"/>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技术和</w:t>
            </w:r>
            <w:r>
              <w:rPr>
                <w:rFonts w:hint="eastAsia" w:cs="宋体" w:asciiTheme="minorEastAsia" w:hAnsiTheme="minorEastAsia" w:eastAsiaTheme="minorEastAsia"/>
                <w:color w:val="auto"/>
                <w:kern w:val="0"/>
                <w:sz w:val="24"/>
                <w:highlight w:val="none"/>
              </w:rPr>
              <w:t>商务</w:t>
            </w:r>
            <w:r>
              <w:rPr>
                <w:rFonts w:cs="宋体" w:asciiTheme="minorEastAsia" w:hAnsiTheme="minorEastAsia" w:eastAsiaTheme="minorEastAsia"/>
                <w:color w:val="auto"/>
                <w:kern w:val="0"/>
                <w:sz w:val="24"/>
                <w:highlight w:val="none"/>
              </w:rPr>
              <w:t>要求</w:t>
            </w:r>
          </w:p>
        </w:tc>
        <w:tc>
          <w:tcPr>
            <w:tcW w:w="2268" w:type="dxa"/>
            <w:tcBorders>
              <w:top w:val="single" w:color="000000" w:sz="4" w:space="0"/>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spacing w:line="250" w:lineRule="atLeast"/>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响应文件响应承诺</w:t>
            </w:r>
          </w:p>
        </w:tc>
        <w:tc>
          <w:tcPr>
            <w:tcW w:w="1214" w:type="dxa"/>
            <w:tcBorders>
              <w:top w:val="single" w:color="000000" w:sz="4" w:space="0"/>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spacing w:line="250" w:lineRule="atLeast"/>
              <w:jc w:val="center"/>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是否偏离及说明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075"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842"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835"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2268"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c>
          <w:tcPr>
            <w:tcW w:w="1214" w:type="dxa"/>
            <w:tcBorders>
              <w:top w:val="nil"/>
              <w:left w:val="nil"/>
              <w:bottom w:val="single" w:color="000000" w:sz="4" w:space="0"/>
              <w:right w:val="single" w:color="000000" w:sz="4" w:space="0"/>
            </w:tcBorders>
            <w:shd w:val="clear" w:color="auto" w:fill="FFFFFF"/>
            <w:tcMar>
              <w:top w:w="0" w:type="dxa"/>
              <w:left w:w="70" w:type="dxa"/>
              <w:bottom w:w="0" w:type="dxa"/>
              <w:right w:w="70" w:type="dxa"/>
            </w:tcMar>
            <w:vAlign w:val="center"/>
          </w:tcPr>
          <w:p>
            <w:pPr>
              <w:widowControl/>
              <w:jc w:val="center"/>
              <w:rPr>
                <w:rFonts w:cs="宋体" w:asciiTheme="minorEastAsia" w:hAnsiTheme="minorEastAsia" w:eastAsiaTheme="minorEastAsia"/>
                <w:color w:val="auto"/>
                <w:kern w:val="0"/>
                <w:sz w:val="24"/>
                <w:highlight w:val="none"/>
              </w:rPr>
            </w:pPr>
          </w:p>
        </w:tc>
      </w:tr>
    </w:tbl>
    <w:p>
      <w:pPr>
        <w:widowControl/>
        <w:spacing w:line="360" w:lineRule="auto"/>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kern w:val="0"/>
          <w:sz w:val="24"/>
          <w:highlight w:val="none"/>
        </w:rPr>
        <w:t>注：（1）竞争性磋商文件（含技术和</w:t>
      </w:r>
      <w:r>
        <w:rPr>
          <w:rFonts w:hint="eastAsia" w:cs="宋体" w:asciiTheme="minorEastAsia" w:hAnsiTheme="minorEastAsia" w:eastAsiaTheme="minorEastAsia"/>
          <w:bCs/>
          <w:color w:val="auto"/>
          <w:kern w:val="0"/>
          <w:sz w:val="24"/>
          <w:highlight w:val="none"/>
        </w:rPr>
        <w:t>商务</w:t>
      </w:r>
      <w:r>
        <w:rPr>
          <w:rFonts w:cs="宋体" w:asciiTheme="minorEastAsia" w:hAnsiTheme="minorEastAsia" w:eastAsiaTheme="minorEastAsia"/>
          <w:bCs/>
          <w:color w:val="auto"/>
          <w:kern w:val="0"/>
          <w:sz w:val="24"/>
          <w:highlight w:val="none"/>
        </w:rPr>
        <w:t>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造成损失的，还必须进行赔偿并负相关责任。</w:t>
      </w:r>
    </w:p>
    <w:p>
      <w:pPr>
        <w:widowControl/>
        <w:spacing w:line="360" w:lineRule="auto"/>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kern w:val="0"/>
          <w:sz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line="360" w:lineRule="auto"/>
        <w:jc w:val="left"/>
        <w:rPr>
          <w:rFonts w:ascii="宋体" w:hAnsi="宋体" w:cs="宋体"/>
          <w:color w:val="auto"/>
          <w:kern w:val="0"/>
          <w:sz w:val="24"/>
          <w:highlight w:val="none"/>
          <w:u w:val="single"/>
        </w:rPr>
      </w:pPr>
      <w:r>
        <w:rPr>
          <w:rFonts w:ascii="宋体" w:hAnsi="宋体" w:cs="宋体"/>
          <w:color w:val="auto"/>
          <w:kern w:val="0"/>
          <w:sz w:val="24"/>
          <w:highlight w:val="none"/>
        </w:rPr>
        <w:t>供应商名称（全称加盖单位公章）：</w:t>
      </w:r>
      <w:r>
        <w:rPr>
          <w:rFonts w:hint="eastAsia" w:ascii="宋体" w:hAnsi="宋体" w:cs="宋体"/>
          <w:color w:val="auto"/>
          <w:kern w:val="0"/>
          <w:sz w:val="24"/>
          <w:highlight w:val="none"/>
          <w:u w:val="single"/>
        </w:rPr>
        <w:t xml:space="preserve">                    </w:t>
      </w:r>
    </w:p>
    <w:p>
      <w:pPr>
        <w:widowControl/>
        <w:spacing w:line="360" w:lineRule="auto"/>
        <w:jc w:val="left"/>
        <w:rPr>
          <w:rFonts w:ascii="宋体" w:hAnsi="宋体" w:cs="宋体"/>
          <w:color w:val="auto"/>
          <w:kern w:val="0"/>
          <w:sz w:val="24"/>
          <w:highlight w:val="none"/>
          <w:u w:val="single"/>
        </w:rPr>
      </w:pPr>
      <w:r>
        <w:rPr>
          <w:rFonts w:ascii="宋体" w:hAnsi="宋体" w:cs="宋体"/>
          <w:color w:val="auto"/>
          <w:kern w:val="0"/>
          <w:sz w:val="24"/>
          <w:highlight w:val="none"/>
        </w:rPr>
        <w:t>供应商代表（签字）：</w:t>
      </w:r>
      <w:r>
        <w:rPr>
          <w:rFonts w:ascii="宋体" w:hAnsi="宋体" w:cs="宋体"/>
          <w:color w:val="auto"/>
          <w:kern w:val="0"/>
          <w:sz w:val="24"/>
          <w:highlight w:val="none"/>
          <w:u w:val="single"/>
        </w:rPr>
        <w:t>      </w:t>
      </w:r>
      <w:r>
        <w:rPr>
          <w:rFonts w:hint="eastAsia" w:ascii="宋体" w:hAnsi="宋体" w:cs="宋体"/>
          <w:color w:val="auto"/>
          <w:kern w:val="0"/>
          <w:sz w:val="24"/>
          <w:highlight w:val="none"/>
          <w:u w:val="single"/>
        </w:rPr>
        <w:t xml:space="preserve">                    </w:t>
      </w:r>
    </w:p>
    <w:p>
      <w:pPr>
        <w:widowControl/>
        <w:spacing w:before="50" w:after="50" w:line="250" w:lineRule="atLeast"/>
        <w:jc w:val="left"/>
        <w:rPr>
          <w:rFonts w:ascii="宋体" w:hAnsi="宋体" w:cs="宋体"/>
          <w:color w:val="auto"/>
          <w:kern w:val="0"/>
          <w:sz w:val="16"/>
          <w:szCs w:val="16"/>
          <w:highlight w:val="none"/>
        </w:rPr>
      </w:pPr>
      <w:r>
        <w:rPr>
          <w:rFonts w:cs="宋体" w:asciiTheme="minorEastAsia" w:hAnsiTheme="minorEastAsia" w:eastAsiaTheme="minorEastAsia"/>
          <w:color w:val="auto"/>
          <w:kern w:val="0"/>
          <w:sz w:val="24"/>
          <w:highlight w:val="none"/>
        </w:rPr>
        <w:t>日  </w:t>
      </w:r>
      <w:r>
        <w:rPr>
          <w:rFonts w:hint="eastAsia" w:cs="宋体" w:asciiTheme="minorEastAsia" w:hAnsiTheme="minorEastAsia" w:eastAsiaTheme="minorEastAsia"/>
          <w:color w:val="auto"/>
          <w:kern w:val="0"/>
          <w:sz w:val="24"/>
          <w:highlight w:val="none"/>
        </w:rPr>
        <w:t xml:space="preserve">  </w:t>
      </w:r>
      <w:r>
        <w:rPr>
          <w:rFonts w:cs="宋体" w:asciiTheme="minorEastAsia" w:hAnsiTheme="minorEastAsia" w:eastAsiaTheme="minorEastAsia"/>
          <w:color w:val="auto"/>
          <w:kern w:val="0"/>
          <w:sz w:val="24"/>
          <w:highlight w:val="none"/>
        </w:rPr>
        <w:t>期：</w:t>
      </w:r>
      <w:r>
        <w:rPr>
          <w:rFonts w:hint="eastAsia" w:cs="宋体" w:asciiTheme="minorEastAsia" w:hAnsiTheme="minorEastAsia" w:eastAsiaTheme="minorEastAsia"/>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年</w:t>
      </w:r>
      <w:r>
        <w:rPr>
          <w:rFonts w:hint="eastAsia" w:cs="宋体" w:asciiTheme="minorEastAsia" w:hAnsiTheme="minorEastAsia" w:eastAsiaTheme="minorEastAsia"/>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月</w:t>
      </w:r>
      <w:r>
        <w:rPr>
          <w:rFonts w:hint="eastAsia" w:cs="宋体" w:asciiTheme="minorEastAsia" w:hAnsiTheme="minorEastAsia" w:eastAsiaTheme="minorEastAsia"/>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日</w:t>
      </w:r>
      <w:r>
        <w:rPr>
          <w:rFonts w:ascii="宋体" w:hAnsi="宋体" w:cs="宋体"/>
          <w:color w:val="auto"/>
          <w:kern w:val="0"/>
          <w:sz w:val="24"/>
          <w:highlight w:val="none"/>
          <w:u w:val="single"/>
        </w:rPr>
        <w:t> </w:t>
      </w:r>
    </w:p>
    <w:p>
      <w:pPr>
        <w:widowControl/>
        <w:spacing w:before="50" w:after="50" w:line="250" w:lineRule="atLeast"/>
        <w:jc w:val="left"/>
        <w:rPr>
          <w:rFonts w:ascii="宋体" w:hAnsi="宋体" w:cs="宋体"/>
          <w:color w:val="auto"/>
          <w:kern w:val="0"/>
          <w:sz w:val="24"/>
          <w:highlight w:val="none"/>
        </w:rPr>
        <w:sectPr>
          <w:pgSz w:w="11906" w:h="16838"/>
          <w:pgMar w:top="1418" w:right="1418" w:bottom="1418" w:left="1418" w:header="851" w:footer="992" w:gutter="0"/>
          <w:pgNumType w:fmt="decimal"/>
          <w:cols w:space="720" w:num="1"/>
          <w:titlePg/>
          <w:docGrid w:linePitch="312" w:charSpace="0"/>
        </w:sectPr>
      </w:pP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六、</w:t>
      </w:r>
      <w:r>
        <w:rPr>
          <w:rFonts w:cs="宋体" w:asciiTheme="minorEastAsia" w:hAnsiTheme="minorEastAsia" w:eastAsiaTheme="minorEastAsia"/>
          <w:b/>
          <w:color w:val="auto"/>
          <w:kern w:val="0"/>
          <w:sz w:val="28"/>
          <w:szCs w:val="28"/>
          <w:highlight w:val="none"/>
        </w:rPr>
        <w:t>相关技术、商务、服务响应承诺及资料</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w:t>
      </w:r>
    </w:p>
    <w:p>
      <w:pPr>
        <w:widowControl/>
        <w:spacing w:line="360" w:lineRule="auto"/>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说明：   </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采购人可以根据项目的特点和需要，在磋商文件中对供应商需要提供的相关技术、商务、服务响应承诺及资料进行具体规定或附表格式，供应商应按照磋商文件要求提供相关承诺及材料，并加盖供应商单位公章。</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2.如果没有特别要求的，供应商根据磋商文件的要求以及特点，提供相关技术、商务、服务响应承诺及资料，格式自拟。</w:t>
      </w:r>
    </w:p>
    <w:p>
      <w:pPr>
        <w:widowControl/>
        <w:spacing w:line="360" w:lineRule="auto"/>
        <w:ind w:firstLine="481"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
          <w:bCs/>
          <w:color w:val="auto"/>
          <w:kern w:val="0"/>
          <w:sz w:val="24"/>
          <w:highlight w:val="none"/>
        </w:rPr>
        <w:t> </w:t>
      </w:r>
    </w:p>
    <w:p>
      <w:pPr>
        <w:widowControl/>
        <w:spacing w:before="50" w:after="50" w:line="330" w:lineRule="atLeast"/>
        <w:jc w:val="left"/>
        <w:rPr>
          <w:rFonts w:ascii="宋体" w:hAnsi="宋体" w:cs="宋体"/>
          <w:color w:val="auto"/>
          <w:kern w:val="0"/>
          <w:sz w:val="24"/>
          <w:highlight w:val="none"/>
        </w:rPr>
      </w:pPr>
      <w:r>
        <w:rPr>
          <w:rFonts w:ascii="宋体" w:hAnsi="宋体" w:cs="宋体"/>
          <w:b/>
          <w:bCs/>
          <w:color w:val="auto"/>
          <w:kern w:val="0"/>
          <w:sz w:val="16"/>
          <w:szCs w:val="16"/>
          <w:highlight w:val="none"/>
        </w:rPr>
        <w:t> </w:t>
      </w:r>
    </w:p>
    <w:p>
      <w:pPr>
        <w:widowControl/>
        <w:spacing w:line="360" w:lineRule="auto"/>
        <w:jc w:val="left"/>
        <w:rPr>
          <w:rFonts w:ascii="宋体" w:hAnsi="宋体" w:cs="宋体"/>
          <w:color w:val="auto"/>
          <w:kern w:val="0"/>
          <w:sz w:val="24"/>
          <w:highlight w:val="none"/>
          <w:u w:val="single"/>
        </w:rPr>
      </w:pPr>
      <w:r>
        <w:rPr>
          <w:rFonts w:ascii="宋体" w:hAnsi="宋体" w:cs="宋体"/>
          <w:color w:val="auto"/>
          <w:kern w:val="0"/>
          <w:sz w:val="24"/>
          <w:highlight w:val="none"/>
        </w:rPr>
        <w:t>供应商名称（全称加盖单位公章）：</w:t>
      </w:r>
      <w:r>
        <w:rPr>
          <w:rFonts w:hint="eastAsia" w:ascii="宋体" w:hAnsi="宋体" w:cs="宋体"/>
          <w:color w:val="auto"/>
          <w:kern w:val="0"/>
          <w:sz w:val="24"/>
          <w:highlight w:val="none"/>
          <w:u w:val="single"/>
        </w:rPr>
        <w:t xml:space="preserve">                    </w:t>
      </w:r>
    </w:p>
    <w:p>
      <w:pPr>
        <w:widowControl/>
        <w:spacing w:line="360" w:lineRule="auto"/>
        <w:jc w:val="left"/>
        <w:rPr>
          <w:rFonts w:ascii="宋体" w:hAnsi="宋体" w:cs="宋体"/>
          <w:color w:val="auto"/>
          <w:kern w:val="0"/>
          <w:sz w:val="24"/>
          <w:highlight w:val="none"/>
          <w:u w:val="single"/>
        </w:rPr>
      </w:pPr>
      <w:r>
        <w:rPr>
          <w:rFonts w:ascii="宋体" w:hAnsi="宋体" w:cs="宋体"/>
          <w:color w:val="auto"/>
          <w:kern w:val="0"/>
          <w:sz w:val="24"/>
          <w:highlight w:val="none"/>
        </w:rPr>
        <w:t>供应商代表（签字）：</w:t>
      </w:r>
      <w:r>
        <w:rPr>
          <w:rFonts w:ascii="宋体" w:hAnsi="宋体" w:cs="宋体"/>
          <w:color w:val="auto"/>
          <w:kern w:val="0"/>
          <w:sz w:val="24"/>
          <w:highlight w:val="none"/>
          <w:u w:val="single"/>
        </w:rPr>
        <w:t>      </w:t>
      </w:r>
      <w:r>
        <w:rPr>
          <w:rFonts w:hint="eastAsia" w:ascii="宋体" w:hAnsi="宋体" w:cs="宋体"/>
          <w:color w:val="auto"/>
          <w:kern w:val="0"/>
          <w:sz w:val="24"/>
          <w:highlight w:val="none"/>
          <w:u w:val="single"/>
        </w:rPr>
        <w:t xml:space="preserve">                    </w:t>
      </w:r>
    </w:p>
    <w:p>
      <w:pPr>
        <w:widowControl/>
        <w:spacing w:before="50" w:after="50" w:line="330" w:lineRule="atLeast"/>
        <w:jc w:val="left"/>
        <w:rPr>
          <w:rFonts w:ascii="宋体" w:hAnsi="宋体" w:cs="宋体"/>
          <w:color w:val="auto"/>
          <w:kern w:val="0"/>
          <w:sz w:val="24"/>
          <w:highlight w:val="none"/>
          <w:u w:val="single"/>
        </w:rPr>
      </w:pPr>
      <w:r>
        <w:rPr>
          <w:rFonts w:cs="宋体" w:asciiTheme="minorEastAsia" w:hAnsiTheme="minorEastAsia" w:eastAsiaTheme="minorEastAsia"/>
          <w:color w:val="auto"/>
          <w:kern w:val="0"/>
          <w:sz w:val="24"/>
          <w:highlight w:val="none"/>
        </w:rPr>
        <w:t>日  </w:t>
      </w:r>
      <w:r>
        <w:rPr>
          <w:rFonts w:hint="eastAsia" w:cs="宋体" w:asciiTheme="minorEastAsia" w:hAnsiTheme="minorEastAsia" w:eastAsiaTheme="minorEastAsia"/>
          <w:color w:val="auto"/>
          <w:kern w:val="0"/>
          <w:sz w:val="24"/>
          <w:highlight w:val="none"/>
        </w:rPr>
        <w:t xml:space="preserve">  </w:t>
      </w:r>
      <w:r>
        <w:rPr>
          <w:rFonts w:cs="宋体" w:asciiTheme="minorEastAsia" w:hAnsiTheme="minorEastAsia" w:eastAsiaTheme="minorEastAsia"/>
          <w:color w:val="auto"/>
          <w:kern w:val="0"/>
          <w:sz w:val="24"/>
          <w:highlight w:val="none"/>
        </w:rPr>
        <w:t>期：</w:t>
      </w:r>
      <w:r>
        <w:rPr>
          <w:rFonts w:hint="eastAsia" w:cs="宋体" w:asciiTheme="minorEastAsia" w:hAnsiTheme="minorEastAsia" w:eastAsiaTheme="minorEastAsia"/>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年</w:t>
      </w:r>
      <w:r>
        <w:rPr>
          <w:rFonts w:hint="eastAsia" w:cs="宋体" w:asciiTheme="minorEastAsia" w:hAnsiTheme="minorEastAsia" w:eastAsiaTheme="minorEastAsia"/>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月</w:t>
      </w:r>
      <w:r>
        <w:rPr>
          <w:rFonts w:hint="eastAsia" w:cs="宋体" w:asciiTheme="minorEastAsia" w:hAnsiTheme="minorEastAsia" w:eastAsiaTheme="minorEastAsia"/>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日</w:t>
      </w:r>
      <w:r>
        <w:rPr>
          <w:rFonts w:ascii="宋体" w:hAnsi="宋体" w:cs="宋体"/>
          <w:color w:val="auto"/>
          <w:kern w:val="0"/>
          <w:sz w:val="24"/>
          <w:highlight w:val="none"/>
          <w:u w:val="single"/>
        </w:rPr>
        <w:t> </w:t>
      </w:r>
    </w:p>
    <w:p>
      <w:pPr>
        <w:widowControl/>
        <w:spacing w:before="50" w:after="50" w:line="330" w:lineRule="atLeast"/>
        <w:jc w:val="left"/>
        <w:rPr>
          <w:rFonts w:ascii="宋体" w:hAnsi="宋体" w:cs="宋体"/>
          <w:color w:val="auto"/>
          <w:kern w:val="0"/>
          <w:sz w:val="24"/>
          <w:highlight w:val="none"/>
          <w:u w:val="single"/>
        </w:rPr>
        <w:sectPr>
          <w:pgSz w:w="11906" w:h="16838"/>
          <w:pgMar w:top="1418" w:right="1418" w:bottom="1418" w:left="1418" w:header="851" w:footer="992" w:gutter="0"/>
          <w:pgNumType w:fmt="decimal"/>
          <w:cols w:space="720" w:num="1"/>
          <w:titlePg/>
          <w:docGrid w:linePitch="312" w:charSpace="0"/>
        </w:sectPr>
      </w:pPr>
    </w:p>
    <w:p>
      <w:pPr>
        <w:widowControl/>
        <w:spacing w:before="50" w:after="50" w:line="360" w:lineRule="auto"/>
        <w:jc w:val="center"/>
        <w:rPr>
          <w:rFonts w:cs="宋体" w:asciiTheme="minorEastAsia" w:hAnsiTheme="minorEastAsia" w:eastAsiaTheme="minorEastAsia"/>
          <w:b/>
          <w:color w:val="auto"/>
          <w:kern w:val="0"/>
          <w:sz w:val="28"/>
          <w:szCs w:val="28"/>
          <w:highlight w:val="none"/>
        </w:rPr>
      </w:pPr>
      <w:r>
        <w:rPr>
          <w:rFonts w:hint="eastAsia" w:cs="宋体" w:asciiTheme="minorEastAsia" w:hAnsiTheme="minorEastAsia" w:eastAsiaTheme="minorEastAsia"/>
          <w:b/>
          <w:color w:val="auto"/>
          <w:kern w:val="0"/>
          <w:sz w:val="28"/>
          <w:szCs w:val="28"/>
          <w:highlight w:val="none"/>
        </w:rPr>
        <w:t>七、供应商提交的其他资料</w:t>
      </w:r>
    </w:p>
    <w:p>
      <w:pPr>
        <w:widowControl/>
        <w:spacing w:line="360" w:lineRule="auto"/>
        <w:jc w:val="center"/>
        <w:rPr>
          <w:rFonts w:ascii="黑体" w:hAnsi="黑体" w:eastAsia="黑体" w:cs="宋体"/>
          <w:b/>
          <w:bCs/>
          <w:color w:val="auto"/>
          <w:kern w:val="0"/>
          <w:sz w:val="28"/>
          <w:szCs w:val="18"/>
          <w:highlight w:val="none"/>
        </w:rPr>
      </w:pPr>
      <w:r>
        <w:rPr>
          <w:rFonts w:hint="eastAsia" w:ascii="黑体" w:hAnsi="黑体" w:eastAsia="黑体" w:cs="宋体"/>
          <w:b/>
          <w:bCs/>
          <w:color w:val="auto"/>
          <w:kern w:val="0"/>
          <w:sz w:val="28"/>
          <w:szCs w:val="18"/>
          <w:highlight w:val="none"/>
        </w:rPr>
        <w:t>（一）带“★”号条款逐条响应情况表</w:t>
      </w:r>
    </w:p>
    <w:p>
      <w:pPr>
        <w:spacing w:line="360" w:lineRule="auto"/>
        <w:rPr>
          <w:rFonts w:ascii="宋体" w:hAnsi="宋体"/>
          <w:color w:val="auto"/>
          <w:sz w:val="24"/>
          <w:highlight w:val="none"/>
        </w:rPr>
      </w:pPr>
      <w:r>
        <w:rPr>
          <w:rFonts w:hint="eastAsia" w:ascii="宋体" w:hAnsi="宋体" w:cs="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项目编号</w:t>
      </w:r>
      <w:r>
        <w:rPr>
          <w:rFonts w:hint="eastAsia" w:ascii="宋体" w:hAnsi="宋体" w:cs="宋体"/>
          <w:color w:val="auto"/>
          <w:sz w:val="24"/>
          <w:highlight w:val="none"/>
        </w:rPr>
        <w:t>：</w:t>
      </w:r>
      <w:r>
        <w:rPr>
          <w:rFonts w:hint="eastAsia" w:ascii="宋体" w:hAnsi="宋体"/>
          <w:color w:val="auto"/>
          <w:sz w:val="24"/>
          <w:highlight w:val="none"/>
          <w:u w:val="single"/>
        </w:rPr>
        <w:t xml:space="preserve">                </w:t>
      </w:r>
    </w:p>
    <w:tbl>
      <w:tblPr>
        <w:tblStyle w:val="1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8"/>
        <w:gridCol w:w="3333"/>
        <w:gridCol w:w="1836"/>
        <w:gridCol w:w="2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96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条款号</w:t>
            </w:r>
          </w:p>
        </w:tc>
        <w:tc>
          <w:tcPr>
            <w:tcW w:w="3333"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磋商文件中带“★”号的条款</w:t>
            </w:r>
          </w:p>
        </w:tc>
        <w:tc>
          <w:tcPr>
            <w:tcW w:w="1836" w:type="dxa"/>
            <w:vAlign w:val="center"/>
          </w:tcPr>
          <w:p>
            <w:pPr>
              <w:spacing w:line="360" w:lineRule="auto"/>
              <w:jc w:val="center"/>
              <w:rPr>
                <w:rFonts w:ascii="宋体" w:hAnsi="宋体"/>
                <w:color w:val="auto"/>
                <w:sz w:val="24"/>
                <w:highlight w:val="none"/>
              </w:rPr>
            </w:pPr>
            <w:r>
              <w:rPr>
                <w:rFonts w:ascii="宋体" w:hAnsi="宋体"/>
                <w:color w:val="auto"/>
                <w:sz w:val="24"/>
                <w:highlight w:val="none"/>
              </w:rPr>
              <w:t>响应</w:t>
            </w:r>
            <w:r>
              <w:rPr>
                <w:rFonts w:hint="eastAsia" w:ascii="宋体" w:hAnsi="宋体"/>
                <w:color w:val="auto"/>
                <w:sz w:val="24"/>
                <w:highlight w:val="none"/>
              </w:rPr>
              <w:t>内容</w:t>
            </w:r>
          </w:p>
        </w:tc>
        <w:tc>
          <w:tcPr>
            <w:tcW w:w="2627"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对应响应文件页码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pPr>
              <w:spacing w:line="360" w:lineRule="auto"/>
              <w:jc w:val="center"/>
              <w:rPr>
                <w:rFonts w:ascii="宋体" w:hAnsi="宋体"/>
                <w:color w:val="auto"/>
                <w:sz w:val="24"/>
                <w:highlight w:val="none"/>
              </w:rPr>
            </w:pPr>
          </w:p>
        </w:tc>
        <w:tc>
          <w:tcPr>
            <w:tcW w:w="3333" w:type="dxa"/>
            <w:vAlign w:val="center"/>
          </w:tcPr>
          <w:p>
            <w:pPr>
              <w:spacing w:line="360" w:lineRule="auto"/>
              <w:jc w:val="center"/>
              <w:rPr>
                <w:rFonts w:ascii="宋体" w:hAnsi="宋体" w:cs="宋体"/>
                <w:bCs/>
                <w:color w:val="auto"/>
                <w:kern w:val="0"/>
                <w:sz w:val="24"/>
                <w:highlight w:val="none"/>
              </w:rPr>
            </w:pPr>
          </w:p>
        </w:tc>
        <w:tc>
          <w:tcPr>
            <w:tcW w:w="1836" w:type="dxa"/>
            <w:vAlign w:val="center"/>
          </w:tcPr>
          <w:p>
            <w:pPr>
              <w:spacing w:line="360" w:lineRule="auto"/>
              <w:jc w:val="center"/>
              <w:rPr>
                <w:rFonts w:ascii="宋体" w:hAnsi="宋体"/>
                <w:color w:val="auto"/>
                <w:sz w:val="24"/>
                <w:highlight w:val="none"/>
              </w:rPr>
            </w:pPr>
          </w:p>
        </w:tc>
        <w:tc>
          <w:tcPr>
            <w:tcW w:w="2627" w:type="dxa"/>
            <w:vAlign w:val="center"/>
          </w:tcPr>
          <w:p>
            <w:pPr>
              <w:spacing w:line="360" w:lineRule="auto"/>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pPr>
              <w:spacing w:line="360" w:lineRule="auto"/>
              <w:jc w:val="center"/>
              <w:rPr>
                <w:rFonts w:ascii="宋体" w:hAnsi="宋体"/>
                <w:color w:val="auto"/>
                <w:sz w:val="24"/>
                <w:highlight w:val="none"/>
              </w:rPr>
            </w:pPr>
          </w:p>
        </w:tc>
        <w:tc>
          <w:tcPr>
            <w:tcW w:w="3333" w:type="dxa"/>
            <w:vAlign w:val="center"/>
          </w:tcPr>
          <w:p>
            <w:pPr>
              <w:spacing w:line="360" w:lineRule="auto"/>
              <w:jc w:val="center"/>
              <w:rPr>
                <w:rFonts w:ascii="宋体" w:hAnsi="宋体" w:cs="宋体"/>
                <w:bCs/>
                <w:color w:val="auto"/>
                <w:kern w:val="0"/>
                <w:sz w:val="24"/>
                <w:highlight w:val="none"/>
              </w:rPr>
            </w:pPr>
          </w:p>
        </w:tc>
        <w:tc>
          <w:tcPr>
            <w:tcW w:w="1836" w:type="dxa"/>
            <w:vAlign w:val="center"/>
          </w:tcPr>
          <w:p>
            <w:pPr>
              <w:spacing w:line="360" w:lineRule="auto"/>
              <w:jc w:val="center"/>
              <w:rPr>
                <w:rFonts w:ascii="宋体" w:hAnsi="宋体"/>
                <w:color w:val="auto"/>
                <w:sz w:val="24"/>
                <w:highlight w:val="none"/>
              </w:rPr>
            </w:pPr>
          </w:p>
        </w:tc>
        <w:tc>
          <w:tcPr>
            <w:tcW w:w="2627" w:type="dxa"/>
            <w:vAlign w:val="center"/>
          </w:tcPr>
          <w:p>
            <w:pPr>
              <w:spacing w:line="360" w:lineRule="auto"/>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pPr>
              <w:spacing w:line="360" w:lineRule="auto"/>
              <w:jc w:val="center"/>
              <w:rPr>
                <w:rFonts w:ascii="宋体" w:hAnsi="宋体"/>
                <w:color w:val="auto"/>
                <w:sz w:val="24"/>
                <w:highlight w:val="none"/>
              </w:rPr>
            </w:pPr>
          </w:p>
        </w:tc>
        <w:tc>
          <w:tcPr>
            <w:tcW w:w="3333" w:type="dxa"/>
            <w:vAlign w:val="center"/>
          </w:tcPr>
          <w:p>
            <w:pPr>
              <w:spacing w:line="360" w:lineRule="auto"/>
              <w:jc w:val="center"/>
              <w:rPr>
                <w:rFonts w:ascii="宋体" w:hAnsi="宋体" w:cs="宋体"/>
                <w:bCs/>
                <w:color w:val="auto"/>
                <w:kern w:val="0"/>
                <w:sz w:val="24"/>
                <w:highlight w:val="none"/>
              </w:rPr>
            </w:pPr>
          </w:p>
        </w:tc>
        <w:tc>
          <w:tcPr>
            <w:tcW w:w="1836" w:type="dxa"/>
            <w:vAlign w:val="center"/>
          </w:tcPr>
          <w:p>
            <w:pPr>
              <w:spacing w:line="360" w:lineRule="auto"/>
              <w:jc w:val="center"/>
              <w:rPr>
                <w:rFonts w:ascii="宋体" w:hAnsi="宋体"/>
                <w:color w:val="auto"/>
                <w:sz w:val="24"/>
                <w:highlight w:val="none"/>
              </w:rPr>
            </w:pPr>
          </w:p>
        </w:tc>
        <w:tc>
          <w:tcPr>
            <w:tcW w:w="2627" w:type="dxa"/>
            <w:vAlign w:val="center"/>
          </w:tcPr>
          <w:p>
            <w:pPr>
              <w:spacing w:line="360" w:lineRule="auto"/>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pPr>
              <w:spacing w:line="360" w:lineRule="auto"/>
              <w:jc w:val="center"/>
              <w:rPr>
                <w:rFonts w:ascii="宋体" w:hAnsi="宋体"/>
                <w:color w:val="auto"/>
                <w:sz w:val="24"/>
                <w:highlight w:val="none"/>
              </w:rPr>
            </w:pPr>
          </w:p>
        </w:tc>
        <w:tc>
          <w:tcPr>
            <w:tcW w:w="3333" w:type="dxa"/>
            <w:vAlign w:val="center"/>
          </w:tcPr>
          <w:p>
            <w:pPr>
              <w:spacing w:line="360" w:lineRule="auto"/>
              <w:jc w:val="center"/>
              <w:rPr>
                <w:rFonts w:ascii="宋体" w:hAnsi="宋体" w:cs="宋体"/>
                <w:bCs/>
                <w:color w:val="auto"/>
                <w:kern w:val="0"/>
                <w:sz w:val="24"/>
                <w:highlight w:val="none"/>
              </w:rPr>
            </w:pPr>
          </w:p>
        </w:tc>
        <w:tc>
          <w:tcPr>
            <w:tcW w:w="1836" w:type="dxa"/>
            <w:vAlign w:val="center"/>
          </w:tcPr>
          <w:p>
            <w:pPr>
              <w:spacing w:line="360" w:lineRule="auto"/>
              <w:jc w:val="center"/>
              <w:rPr>
                <w:rFonts w:ascii="宋体" w:hAnsi="宋体"/>
                <w:color w:val="auto"/>
                <w:sz w:val="24"/>
                <w:highlight w:val="none"/>
              </w:rPr>
            </w:pPr>
          </w:p>
        </w:tc>
        <w:tc>
          <w:tcPr>
            <w:tcW w:w="2627" w:type="dxa"/>
            <w:vAlign w:val="center"/>
          </w:tcPr>
          <w:p>
            <w:pPr>
              <w:spacing w:line="360" w:lineRule="auto"/>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pPr>
              <w:spacing w:line="360" w:lineRule="auto"/>
              <w:jc w:val="center"/>
              <w:rPr>
                <w:rFonts w:ascii="宋体" w:hAnsi="宋体"/>
                <w:color w:val="auto"/>
                <w:sz w:val="24"/>
                <w:highlight w:val="none"/>
              </w:rPr>
            </w:pPr>
          </w:p>
        </w:tc>
        <w:tc>
          <w:tcPr>
            <w:tcW w:w="3333" w:type="dxa"/>
            <w:vAlign w:val="center"/>
          </w:tcPr>
          <w:p>
            <w:pPr>
              <w:spacing w:line="360" w:lineRule="auto"/>
              <w:jc w:val="center"/>
              <w:rPr>
                <w:rFonts w:ascii="宋体" w:hAnsi="宋体" w:cs="宋体"/>
                <w:bCs/>
                <w:color w:val="auto"/>
                <w:kern w:val="0"/>
                <w:sz w:val="24"/>
                <w:highlight w:val="none"/>
              </w:rPr>
            </w:pPr>
          </w:p>
        </w:tc>
        <w:tc>
          <w:tcPr>
            <w:tcW w:w="1836" w:type="dxa"/>
            <w:vAlign w:val="center"/>
          </w:tcPr>
          <w:p>
            <w:pPr>
              <w:spacing w:line="360" w:lineRule="auto"/>
              <w:jc w:val="center"/>
              <w:rPr>
                <w:rFonts w:ascii="宋体" w:hAnsi="宋体"/>
                <w:color w:val="auto"/>
                <w:sz w:val="24"/>
                <w:highlight w:val="none"/>
              </w:rPr>
            </w:pPr>
          </w:p>
        </w:tc>
        <w:tc>
          <w:tcPr>
            <w:tcW w:w="2627" w:type="dxa"/>
            <w:vAlign w:val="center"/>
          </w:tcPr>
          <w:p>
            <w:pPr>
              <w:spacing w:line="360" w:lineRule="auto"/>
              <w:jc w:val="center"/>
              <w:rPr>
                <w:rFonts w:ascii="宋体" w:hAnsi="宋体"/>
                <w:color w:val="auto"/>
                <w:sz w:val="24"/>
                <w:highlight w:val="none"/>
              </w:rPr>
            </w:pPr>
          </w:p>
        </w:tc>
      </w:tr>
    </w:tbl>
    <w:p>
      <w:pPr>
        <w:spacing w:line="380" w:lineRule="exact"/>
        <w:ind w:firstLine="481" w:firstLineChars="200"/>
        <w:jc w:val="left"/>
        <w:rPr>
          <w:rFonts w:ascii="宋体" w:hAnsi="宋体"/>
          <w:b/>
          <w:color w:val="auto"/>
          <w:sz w:val="24"/>
          <w:highlight w:val="none"/>
        </w:rPr>
      </w:pPr>
      <w:r>
        <w:rPr>
          <w:rFonts w:hint="eastAsia" w:ascii="宋体" w:hAnsi="宋体"/>
          <w:b/>
          <w:color w:val="auto"/>
          <w:sz w:val="24"/>
          <w:highlight w:val="none"/>
        </w:rPr>
        <w:t>以上★号条款为磋商文件中的所有★号条款，无论是技术指标或文字描述要求，供应商必须逐条如实地书面响应。</w:t>
      </w:r>
    </w:p>
    <w:p>
      <w:pPr>
        <w:spacing w:line="380" w:lineRule="exact"/>
        <w:ind w:firstLine="481" w:firstLineChars="200"/>
        <w:jc w:val="left"/>
        <w:rPr>
          <w:rFonts w:ascii="宋体" w:hAnsi="宋体"/>
          <w:b/>
          <w:color w:val="auto"/>
          <w:sz w:val="24"/>
          <w:highlight w:val="none"/>
        </w:rPr>
      </w:pPr>
    </w:p>
    <w:p>
      <w:pPr>
        <w:spacing w:line="360" w:lineRule="auto"/>
        <w:ind w:firstLine="4200" w:firstLineChars="1750"/>
        <w:rPr>
          <w:rFonts w:ascii="宋体" w:hAnsi="宋体"/>
          <w:color w:val="auto"/>
          <w:sz w:val="24"/>
          <w:highlight w:val="none"/>
        </w:rPr>
      </w:pPr>
      <w:r>
        <w:rPr>
          <w:rFonts w:hint="eastAsia" w:ascii="宋体" w:hAnsi="宋体"/>
          <w:color w:val="auto"/>
          <w:sz w:val="24"/>
          <w:highlight w:val="none"/>
        </w:rPr>
        <w:t>供应商全称（加盖公章）：</w:t>
      </w:r>
      <w:r>
        <w:rPr>
          <w:rFonts w:hint="eastAsia" w:ascii="宋体" w:hAnsi="宋体"/>
          <w:color w:val="auto"/>
          <w:sz w:val="24"/>
          <w:highlight w:val="none"/>
          <w:u w:val="single"/>
        </w:rPr>
        <w:t xml:space="preserve">               </w:t>
      </w:r>
    </w:p>
    <w:p>
      <w:pPr>
        <w:spacing w:line="360" w:lineRule="auto"/>
        <w:ind w:firstLine="4200" w:firstLineChars="1750"/>
        <w:rPr>
          <w:rFonts w:ascii="宋体" w:hAnsi="宋体"/>
          <w:color w:val="auto"/>
          <w:sz w:val="24"/>
          <w:highlight w:val="none"/>
          <w:u w:val="single"/>
        </w:rPr>
      </w:pPr>
      <w:r>
        <w:rPr>
          <w:rFonts w:hint="eastAsia" w:ascii="宋体" w:hAnsi="宋体"/>
          <w:color w:val="auto"/>
          <w:sz w:val="24"/>
          <w:highlight w:val="none"/>
        </w:rPr>
        <w:t>供应商代表签字：</w:t>
      </w:r>
      <w:r>
        <w:rPr>
          <w:rFonts w:hint="eastAsia" w:ascii="宋体" w:hAnsi="宋体"/>
          <w:color w:val="auto"/>
          <w:sz w:val="24"/>
          <w:highlight w:val="none"/>
          <w:u w:val="single"/>
        </w:rPr>
        <w:t xml:space="preserve">                      </w:t>
      </w:r>
    </w:p>
    <w:p>
      <w:pPr>
        <w:spacing w:line="360" w:lineRule="auto"/>
        <w:ind w:firstLine="4200" w:firstLineChars="1750"/>
        <w:rPr>
          <w:rFonts w:ascii="宋体" w:hAnsi="宋体"/>
          <w:color w:val="auto"/>
          <w:sz w:val="24"/>
          <w:highlight w:val="none"/>
          <w:u w:val="single"/>
        </w:rPr>
      </w:pPr>
      <w:r>
        <w:rPr>
          <w:rFonts w:hint="eastAsia" w:ascii="宋体" w:hAnsi="宋体"/>
          <w:color w:val="auto"/>
          <w:sz w:val="24"/>
          <w:highlight w:val="none"/>
        </w:rPr>
        <w:t xml:space="preserve">日   期： </w:t>
      </w:r>
      <w:r>
        <w:rPr>
          <w:rFonts w:hint="eastAsia" w:ascii="宋体" w:hAnsi="宋体"/>
          <w:color w:val="auto"/>
          <w:sz w:val="24"/>
          <w:highlight w:val="none"/>
          <w:u w:val="single"/>
        </w:rPr>
        <w:t xml:space="preserve">                            </w:t>
      </w:r>
    </w:p>
    <w:p>
      <w:pPr>
        <w:rPr>
          <w:color w:val="auto"/>
          <w:highlight w:val="none"/>
        </w:rPr>
        <w:sectPr>
          <w:pgSz w:w="11906" w:h="16838"/>
          <w:pgMar w:top="1418" w:right="1418" w:bottom="1418" w:left="1418" w:header="851" w:footer="992" w:gutter="0"/>
          <w:pgNumType w:fmt="decimal"/>
          <w:cols w:space="720" w:num="1"/>
          <w:docGrid w:linePitch="312" w:charSpace="0"/>
        </w:sectPr>
      </w:pPr>
    </w:p>
    <w:p>
      <w:pPr>
        <w:widowControl/>
        <w:spacing w:line="360" w:lineRule="auto"/>
        <w:jc w:val="center"/>
        <w:rPr>
          <w:rFonts w:ascii="黑体" w:hAnsi="黑体" w:eastAsia="黑体" w:cs="宋体"/>
          <w:b/>
          <w:bCs/>
          <w:color w:val="auto"/>
          <w:kern w:val="0"/>
          <w:sz w:val="28"/>
          <w:szCs w:val="18"/>
          <w:highlight w:val="none"/>
        </w:rPr>
      </w:pPr>
      <w:r>
        <w:rPr>
          <w:rFonts w:hint="eastAsia" w:ascii="黑体" w:hAnsi="黑体" w:eastAsia="黑体" w:cs="宋体"/>
          <w:b/>
          <w:bCs/>
          <w:color w:val="auto"/>
          <w:kern w:val="0"/>
          <w:sz w:val="28"/>
          <w:szCs w:val="18"/>
          <w:highlight w:val="none"/>
        </w:rPr>
        <w:t>（二）技术商务评分响应索引表</w:t>
      </w:r>
    </w:p>
    <w:tbl>
      <w:tblPr>
        <w:tblStyle w:val="40"/>
        <w:tblW w:w="8888"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134"/>
        <w:gridCol w:w="4732"/>
        <w:gridCol w:w="3022"/>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pPr>
              <w:spacing w:beforeLines="50" w:afterLines="50"/>
              <w:jc w:val="center"/>
              <w:rPr>
                <w:rFonts w:ascii="宋体" w:hAnsi="宋体"/>
                <w:bCs/>
                <w:color w:val="auto"/>
                <w:sz w:val="24"/>
                <w:szCs w:val="32"/>
                <w:highlight w:val="none"/>
              </w:rPr>
            </w:pPr>
            <w:r>
              <w:rPr>
                <w:rFonts w:hint="eastAsia" w:ascii="宋体" w:hAnsi="宋体"/>
                <w:bCs/>
                <w:color w:val="auto"/>
                <w:sz w:val="24"/>
                <w:szCs w:val="32"/>
                <w:highlight w:val="none"/>
              </w:rPr>
              <w:t>序号</w:t>
            </w:r>
          </w:p>
        </w:tc>
        <w:tc>
          <w:tcPr>
            <w:tcW w:w="4732" w:type="dxa"/>
            <w:vAlign w:val="center"/>
          </w:tcPr>
          <w:p>
            <w:pPr>
              <w:spacing w:beforeLines="50" w:afterLines="50"/>
              <w:jc w:val="center"/>
              <w:rPr>
                <w:rFonts w:ascii="宋体" w:hAnsi="宋体"/>
                <w:bCs/>
                <w:color w:val="auto"/>
                <w:sz w:val="24"/>
                <w:szCs w:val="32"/>
                <w:highlight w:val="none"/>
              </w:rPr>
            </w:pPr>
            <w:r>
              <w:rPr>
                <w:rFonts w:hint="eastAsia" w:ascii="宋体" w:hAnsi="宋体"/>
                <w:bCs/>
                <w:color w:val="auto"/>
                <w:sz w:val="24"/>
                <w:szCs w:val="32"/>
                <w:highlight w:val="none"/>
              </w:rPr>
              <w:t>评分标准要求</w:t>
            </w:r>
          </w:p>
        </w:tc>
        <w:tc>
          <w:tcPr>
            <w:tcW w:w="3022" w:type="dxa"/>
            <w:vAlign w:val="center"/>
          </w:tcPr>
          <w:p>
            <w:pPr>
              <w:spacing w:beforeLines="50" w:afterLines="50"/>
              <w:jc w:val="center"/>
              <w:rPr>
                <w:rFonts w:ascii="宋体" w:hAnsi="宋体"/>
                <w:bCs/>
                <w:color w:val="auto"/>
                <w:sz w:val="24"/>
                <w:szCs w:val="32"/>
                <w:highlight w:val="none"/>
              </w:rPr>
            </w:pPr>
            <w:r>
              <w:rPr>
                <w:rFonts w:hint="eastAsia" w:ascii="宋体" w:hAnsi="宋体"/>
                <w:bCs/>
                <w:color w:val="auto"/>
                <w:sz w:val="24"/>
                <w:szCs w:val="32"/>
                <w:highlight w:val="none"/>
              </w:rPr>
              <w:t>对应响应文件页码</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8888" w:type="dxa"/>
            <w:gridSpan w:val="3"/>
            <w:vAlign w:val="center"/>
          </w:tcPr>
          <w:p>
            <w:pPr>
              <w:spacing w:beforeLines="50" w:afterLines="50"/>
              <w:jc w:val="center"/>
              <w:rPr>
                <w:rFonts w:ascii="宋体" w:hAnsi="宋体"/>
                <w:bCs/>
                <w:color w:val="auto"/>
                <w:sz w:val="24"/>
                <w:szCs w:val="32"/>
                <w:highlight w:val="none"/>
              </w:rPr>
            </w:pPr>
            <w:r>
              <w:rPr>
                <w:rFonts w:hint="eastAsia" w:ascii="宋体" w:hAnsi="宋体"/>
                <w:bCs/>
                <w:color w:val="auto"/>
                <w:sz w:val="24"/>
                <w:szCs w:val="32"/>
                <w:highlight w:val="none"/>
              </w:rPr>
              <w:t>技术因素评分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pPr>
              <w:spacing w:beforeLines="50" w:afterLines="50"/>
              <w:jc w:val="center"/>
              <w:rPr>
                <w:rFonts w:ascii="宋体" w:hAnsi="宋体"/>
                <w:bCs/>
                <w:color w:val="auto"/>
                <w:sz w:val="24"/>
                <w:szCs w:val="32"/>
                <w:highlight w:val="none"/>
              </w:rPr>
            </w:pPr>
            <w:r>
              <w:rPr>
                <w:rFonts w:hint="eastAsia" w:ascii="宋体" w:hAnsi="宋体"/>
                <w:bCs/>
                <w:color w:val="auto"/>
                <w:sz w:val="24"/>
                <w:szCs w:val="32"/>
                <w:highlight w:val="none"/>
              </w:rPr>
              <w:t>1-1</w:t>
            </w:r>
          </w:p>
        </w:tc>
        <w:tc>
          <w:tcPr>
            <w:tcW w:w="4732" w:type="dxa"/>
            <w:vAlign w:val="center"/>
          </w:tcPr>
          <w:p>
            <w:pPr>
              <w:spacing w:beforeLines="50" w:afterLines="50"/>
              <w:jc w:val="center"/>
              <w:rPr>
                <w:rFonts w:ascii="宋体" w:hAnsi="宋体"/>
                <w:bCs/>
                <w:color w:val="auto"/>
                <w:sz w:val="24"/>
                <w:szCs w:val="32"/>
                <w:highlight w:val="none"/>
              </w:rPr>
            </w:pPr>
          </w:p>
        </w:tc>
        <w:tc>
          <w:tcPr>
            <w:tcW w:w="3022" w:type="dxa"/>
            <w:vAlign w:val="center"/>
          </w:tcPr>
          <w:p>
            <w:pPr>
              <w:spacing w:beforeLines="50" w:afterLines="50"/>
              <w:jc w:val="center"/>
              <w:rPr>
                <w:rFonts w:ascii="宋体" w:hAnsi="宋体" w:eastAsia="黑体"/>
                <w:b/>
                <w:bCs/>
                <w:color w:val="auto"/>
                <w:sz w:val="24"/>
                <w:szCs w:val="32"/>
                <w:highlight w:val="none"/>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PrEx>
        <w:trPr>
          <w:jc w:val="center"/>
        </w:trPr>
        <w:tc>
          <w:tcPr>
            <w:tcW w:w="1134" w:type="dxa"/>
            <w:vAlign w:val="center"/>
          </w:tcPr>
          <w:p>
            <w:pPr>
              <w:spacing w:beforeLines="50" w:afterLines="50"/>
              <w:jc w:val="center"/>
              <w:rPr>
                <w:rFonts w:ascii="宋体" w:hAnsi="宋体"/>
                <w:bCs/>
                <w:color w:val="auto"/>
                <w:sz w:val="24"/>
                <w:szCs w:val="32"/>
                <w:highlight w:val="none"/>
              </w:rPr>
            </w:pPr>
            <w:r>
              <w:rPr>
                <w:rFonts w:hint="eastAsia" w:ascii="宋体" w:hAnsi="宋体"/>
                <w:bCs/>
                <w:color w:val="auto"/>
                <w:sz w:val="24"/>
                <w:szCs w:val="32"/>
                <w:highlight w:val="none"/>
              </w:rPr>
              <w:t>1-2</w:t>
            </w:r>
          </w:p>
        </w:tc>
        <w:tc>
          <w:tcPr>
            <w:tcW w:w="4732" w:type="dxa"/>
            <w:vAlign w:val="center"/>
          </w:tcPr>
          <w:p>
            <w:pPr>
              <w:spacing w:beforeLines="50" w:afterLines="50"/>
              <w:jc w:val="center"/>
              <w:rPr>
                <w:rFonts w:ascii="宋体" w:hAnsi="宋体"/>
                <w:bCs/>
                <w:color w:val="auto"/>
                <w:sz w:val="24"/>
                <w:szCs w:val="32"/>
                <w:highlight w:val="none"/>
              </w:rPr>
            </w:pPr>
          </w:p>
        </w:tc>
        <w:tc>
          <w:tcPr>
            <w:tcW w:w="3022" w:type="dxa"/>
            <w:vAlign w:val="center"/>
          </w:tcPr>
          <w:p>
            <w:pPr>
              <w:spacing w:beforeLines="50" w:afterLines="50"/>
              <w:jc w:val="center"/>
              <w:rPr>
                <w:rFonts w:ascii="宋体" w:hAnsi="宋体" w:eastAsia="黑体"/>
                <w:b/>
                <w:bCs/>
                <w:color w:val="auto"/>
                <w:sz w:val="24"/>
                <w:szCs w:val="32"/>
                <w:highlight w:val="none"/>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pPr>
              <w:spacing w:beforeLines="50" w:afterLines="50"/>
              <w:jc w:val="center"/>
              <w:rPr>
                <w:rFonts w:ascii="宋体" w:hAnsi="宋体"/>
                <w:bCs/>
                <w:color w:val="auto"/>
                <w:sz w:val="24"/>
                <w:szCs w:val="32"/>
                <w:highlight w:val="none"/>
              </w:rPr>
            </w:pPr>
            <w:r>
              <w:rPr>
                <w:rFonts w:hint="eastAsia" w:ascii="宋体" w:hAnsi="宋体"/>
                <w:bCs/>
                <w:color w:val="auto"/>
                <w:sz w:val="24"/>
                <w:szCs w:val="32"/>
                <w:highlight w:val="none"/>
              </w:rPr>
              <w:t>1-3</w:t>
            </w:r>
          </w:p>
        </w:tc>
        <w:tc>
          <w:tcPr>
            <w:tcW w:w="4732" w:type="dxa"/>
            <w:vAlign w:val="center"/>
          </w:tcPr>
          <w:p>
            <w:pPr>
              <w:spacing w:beforeLines="50" w:afterLines="50"/>
              <w:jc w:val="center"/>
              <w:rPr>
                <w:rFonts w:ascii="宋体" w:hAnsi="宋体"/>
                <w:bCs/>
                <w:color w:val="auto"/>
                <w:sz w:val="24"/>
                <w:szCs w:val="32"/>
                <w:highlight w:val="none"/>
              </w:rPr>
            </w:pPr>
          </w:p>
        </w:tc>
        <w:tc>
          <w:tcPr>
            <w:tcW w:w="3022" w:type="dxa"/>
            <w:vAlign w:val="center"/>
          </w:tcPr>
          <w:p>
            <w:pPr>
              <w:spacing w:beforeLines="50" w:afterLines="50"/>
              <w:jc w:val="center"/>
              <w:rPr>
                <w:rFonts w:ascii="宋体" w:hAnsi="宋体" w:eastAsia="黑体"/>
                <w:b/>
                <w:bCs/>
                <w:color w:val="auto"/>
                <w:sz w:val="24"/>
                <w:szCs w:val="32"/>
                <w:highlight w:val="none"/>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pPr>
              <w:spacing w:beforeLines="50" w:afterLines="50"/>
              <w:jc w:val="center"/>
              <w:rPr>
                <w:rFonts w:ascii="宋体" w:hAnsi="宋体"/>
                <w:bCs/>
                <w:color w:val="auto"/>
                <w:sz w:val="24"/>
                <w:szCs w:val="32"/>
                <w:highlight w:val="none"/>
              </w:rPr>
            </w:pPr>
            <w:r>
              <w:rPr>
                <w:rFonts w:hint="eastAsia" w:ascii="宋体" w:hAnsi="宋体"/>
                <w:bCs/>
                <w:color w:val="auto"/>
                <w:sz w:val="24"/>
                <w:szCs w:val="32"/>
                <w:highlight w:val="none"/>
              </w:rPr>
              <w:t>1-4</w:t>
            </w:r>
          </w:p>
        </w:tc>
        <w:tc>
          <w:tcPr>
            <w:tcW w:w="4732" w:type="dxa"/>
            <w:vAlign w:val="center"/>
          </w:tcPr>
          <w:p>
            <w:pPr>
              <w:spacing w:beforeLines="50" w:afterLines="50"/>
              <w:jc w:val="center"/>
              <w:rPr>
                <w:rFonts w:ascii="宋体" w:hAnsi="宋体"/>
                <w:bCs/>
                <w:color w:val="auto"/>
                <w:sz w:val="24"/>
                <w:szCs w:val="32"/>
                <w:highlight w:val="none"/>
              </w:rPr>
            </w:pPr>
          </w:p>
        </w:tc>
        <w:tc>
          <w:tcPr>
            <w:tcW w:w="3022" w:type="dxa"/>
            <w:vAlign w:val="center"/>
          </w:tcPr>
          <w:p>
            <w:pPr>
              <w:spacing w:beforeLines="50" w:afterLines="50"/>
              <w:jc w:val="center"/>
              <w:rPr>
                <w:rFonts w:ascii="宋体" w:hAnsi="宋体" w:eastAsia="黑体"/>
                <w:b/>
                <w:bCs/>
                <w:color w:val="auto"/>
                <w:sz w:val="24"/>
                <w:szCs w:val="32"/>
                <w:highlight w:val="none"/>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8888" w:type="dxa"/>
            <w:gridSpan w:val="3"/>
            <w:vAlign w:val="center"/>
          </w:tcPr>
          <w:p>
            <w:pPr>
              <w:spacing w:beforeLines="50" w:afterLines="50"/>
              <w:jc w:val="center"/>
              <w:rPr>
                <w:rFonts w:ascii="宋体" w:hAnsi="宋体"/>
                <w:bCs/>
                <w:color w:val="auto"/>
                <w:sz w:val="24"/>
                <w:szCs w:val="32"/>
                <w:highlight w:val="none"/>
              </w:rPr>
            </w:pPr>
            <w:r>
              <w:rPr>
                <w:rFonts w:hint="eastAsia" w:ascii="宋体" w:hAnsi="宋体"/>
                <w:bCs/>
                <w:color w:val="auto"/>
                <w:sz w:val="24"/>
                <w:szCs w:val="32"/>
                <w:highlight w:val="none"/>
              </w:rPr>
              <w:t>商务因素评分</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PrEx>
        <w:trPr>
          <w:jc w:val="center"/>
        </w:trPr>
        <w:tc>
          <w:tcPr>
            <w:tcW w:w="1134" w:type="dxa"/>
            <w:vAlign w:val="center"/>
          </w:tcPr>
          <w:p>
            <w:pPr>
              <w:spacing w:beforeLines="50" w:afterLines="50"/>
              <w:jc w:val="center"/>
              <w:rPr>
                <w:rFonts w:ascii="宋体" w:hAnsi="宋体"/>
                <w:bCs/>
                <w:color w:val="auto"/>
                <w:sz w:val="24"/>
                <w:szCs w:val="32"/>
                <w:highlight w:val="none"/>
              </w:rPr>
            </w:pPr>
            <w:r>
              <w:rPr>
                <w:rFonts w:hint="eastAsia" w:ascii="宋体" w:hAnsi="宋体"/>
                <w:bCs/>
                <w:color w:val="auto"/>
                <w:sz w:val="24"/>
                <w:szCs w:val="32"/>
                <w:highlight w:val="none"/>
              </w:rPr>
              <w:t>2-1</w:t>
            </w:r>
          </w:p>
        </w:tc>
        <w:tc>
          <w:tcPr>
            <w:tcW w:w="4732" w:type="dxa"/>
            <w:vAlign w:val="center"/>
          </w:tcPr>
          <w:p>
            <w:pPr>
              <w:spacing w:beforeLines="50" w:afterLines="50"/>
              <w:jc w:val="center"/>
              <w:rPr>
                <w:rFonts w:ascii="宋体" w:hAnsi="宋体"/>
                <w:bCs/>
                <w:color w:val="auto"/>
                <w:sz w:val="24"/>
                <w:szCs w:val="32"/>
                <w:highlight w:val="none"/>
              </w:rPr>
            </w:pPr>
          </w:p>
        </w:tc>
        <w:tc>
          <w:tcPr>
            <w:tcW w:w="3022" w:type="dxa"/>
            <w:vAlign w:val="center"/>
          </w:tcPr>
          <w:p>
            <w:pPr>
              <w:spacing w:beforeLines="50" w:afterLines="50"/>
              <w:jc w:val="center"/>
              <w:rPr>
                <w:rFonts w:ascii="宋体" w:hAnsi="宋体" w:eastAsia="黑体"/>
                <w:b/>
                <w:bCs/>
                <w:color w:val="auto"/>
                <w:sz w:val="24"/>
                <w:szCs w:val="32"/>
                <w:highlight w:val="none"/>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pPr>
              <w:spacing w:beforeLines="50" w:afterLines="50"/>
              <w:jc w:val="center"/>
              <w:rPr>
                <w:rFonts w:ascii="宋体" w:hAnsi="宋体"/>
                <w:bCs/>
                <w:color w:val="auto"/>
                <w:sz w:val="24"/>
                <w:szCs w:val="32"/>
                <w:highlight w:val="none"/>
              </w:rPr>
            </w:pPr>
            <w:r>
              <w:rPr>
                <w:rFonts w:hint="eastAsia" w:ascii="宋体" w:hAnsi="宋体"/>
                <w:bCs/>
                <w:color w:val="auto"/>
                <w:sz w:val="24"/>
                <w:szCs w:val="32"/>
                <w:highlight w:val="none"/>
              </w:rPr>
              <w:t>2-2</w:t>
            </w:r>
          </w:p>
        </w:tc>
        <w:tc>
          <w:tcPr>
            <w:tcW w:w="4732" w:type="dxa"/>
            <w:vAlign w:val="center"/>
          </w:tcPr>
          <w:p>
            <w:pPr>
              <w:spacing w:beforeLines="50" w:afterLines="50"/>
              <w:jc w:val="center"/>
              <w:rPr>
                <w:rFonts w:ascii="宋体" w:hAnsi="宋体"/>
                <w:bCs/>
                <w:color w:val="auto"/>
                <w:sz w:val="24"/>
                <w:szCs w:val="32"/>
                <w:highlight w:val="none"/>
              </w:rPr>
            </w:pPr>
          </w:p>
        </w:tc>
        <w:tc>
          <w:tcPr>
            <w:tcW w:w="3022" w:type="dxa"/>
            <w:vAlign w:val="center"/>
          </w:tcPr>
          <w:p>
            <w:pPr>
              <w:spacing w:beforeLines="50" w:afterLines="50"/>
              <w:jc w:val="center"/>
              <w:rPr>
                <w:rFonts w:ascii="宋体" w:hAnsi="宋体" w:eastAsia="黑体"/>
                <w:b/>
                <w:bCs/>
                <w:color w:val="auto"/>
                <w:sz w:val="24"/>
                <w:szCs w:val="32"/>
                <w:highlight w:val="none"/>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pPr>
              <w:spacing w:beforeLines="50" w:afterLines="50"/>
              <w:jc w:val="center"/>
              <w:rPr>
                <w:rFonts w:ascii="宋体" w:hAnsi="宋体"/>
                <w:bCs/>
                <w:color w:val="auto"/>
                <w:sz w:val="24"/>
                <w:szCs w:val="32"/>
                <w:highlight w:val="none"/>
              </w:rPr>
            </w:pPr>
            <w:r>
              <w:rPr>
                <w:rFonts w:hint="eastAsia" w:ascii="宋体" w:hAnsi="宋体"/>
                <w:bCs/>
                <w:color w:val="auto"/>
                <w:sz w:val="24"/>
                <w:szCs w:val="32"/>
                <w:highlight w:val="none"/>
              </w:rPr>
              <w:t>2-3</w:t>
            </w:r>
          </w:p>
        </w:tc>
        <w:tc>
          <w:tcPr>
            <w:tcW w:w="4732" w:type="dxa"/>
            <w:vAlign w:val="center"/>
          </w:tcPr>
          <w:p>
            <w:pPr>
              <w:spacing w:beforeLines="50" w:afterLines="50"/>
              <w:jc w:val="center"/>
              <w:rPr>
                <w:rFonts w:ascii="宋体" w:hAnsi="宋体"/>
                <w:bCs/>
                <w:color w:val="auto"/>
                <w:sz w:val="24"/>
                <w:szCs w:val="32"/>
                <w:highlight w:val="none"/>
              </w:rPr>
            </w:pPr>
          </w:p>
        </w:tc>
        <w:tc>
          <w:tcPr>
            <w:tcW w:w="3022" w:type="dxa"/>
            <w:vAlign w:val="center"/>
          </w:tcPr>
          <w:p>
            <w:pPr>
              <w:spacing w:beforeLines="50" w:afterLines="50"/>
              <w:jc w:val="center"/>
              <w:rPr>
                <w:rFonts w:ascii="宋体" w:hAnsi="宋体" w:eastAsia="黑体"/>
                <w:b/>
                <w:bCs/>
                <w:color w:val="auto"/>
                <w:sz w:val="24"/>
                <w:szCs w:val="32"/>
                <w:highlight w:val="none"/>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pPr>
              <w:spacing w:beforeLines="50" w:afterLines="50"/>
              <w:jc w:val="center"/>
              <w:rPr>
                <w:rFonts w:ascii="宋体" w:hAnsi="宋体"/>
                <w:bCs/>
                <w:color w:val="auto"/>
                <w:sz w:val="24"/>
                <w:szCs w:val="32"/>
                <w:highlight w:val="none"/>
              </w:rPr>
            </w:pPr>
          </w:p>
        </w:tc>
        <w:tc>
          <w:tcPr>
            <w:tcW w:w="4732" w:type="dxa"/>
            <w:vAlign w:val="center"/>
          </w:tcPr>
          <w:p>
            <w:pPr>
              <w:spacing w:beforeLines="50" w:afterLines="50"/>
              <w:jc w:val="center"/>
              <w:rPr>
                <w:rFonts w:ascii="宋体" w:hAnsi="宋体"/>
                <w:bCs/>
                <w:color w:val="auto"/>
                <w:sz w:val="24"/>
                <w:szCs w:val="32"/>
                <w:highlight w:val="none"/>
              </w:rPr>
            </w:pPr>
          </w:p>
        </w:tc>
        <w:tc>
          <w:tcPr>
            <w:tcW w:w="3022" w:type="dxa"/>
            <w:vAlign w:val="center"/>
          </w:tcPr>
          <w:p>
            <w:pPr>
              <w:spacing w:beforeLines="50" w:afterLines="50"/>
              <w:jc w:val="center"/>
              <w:rPr>
                <w:rFonts w:ascii="宋体" w:hAnsi="宋体" w:eastAsia="黑体"/>
                <w:b/>
                <w:bCs/>
                <w:color w:val="auto"/>
                <w:sz w:val="24"/>
                <w:szCs w:val="32"/>
                <w:highlight w:val="none"/>
              </w:rPr>
            </w:pPr>
          </w:p>
        </w:tc>
      </w:tr>
    </w:tbl>
    <w:p>
      <w:pPr>
        <w:rPr>
          <w:rFonts w:ascii="宋体" w:hAnsi="宋体"/>
          <w:b/>
          <w:bCs/>
          <w:color w:val="auto"/>
          <w:sz w:val="24"/>
          <w:highlight w:val="none"/>
        </w:rPr>
      </w:pPr>
    </w:p>
    <w:sectPr>
      <w:pgSz w:w="11906" w:h="16838"/>
      <w:pgMar w:top="1418" w:right="1418" w:bottom="1418"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Arial Unicode MS">
    <w:altName w:val="DejaVu Sans"/>
    <w:panose1 w:val="020B0604020202020204"/>
    <w:charset w:val="86"/>
    <w:family w:val="roman"/>
    <w:pitch w:val="default"/>
    <w:sig w:usb0="00000000" w:usb1="00000000" w:usb2="0000003F" w:usb3="00000000" w:csb0="603F01FF" w:csb1="F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Verdana">
    <w:altName w:val="DejaVu Sans"/>
    <w:panose1 w:val="020B0604030504040204"/>
    <w:charset w:val="00"/>
    <w:family w:val="swiss"/>
    <w:pitch w:val="default"/>
    <w:sig w:usb0="00000000" w:usb1="00000000"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Arial Narrow">
    <w:altName w:val="DejaVu Sans"/>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S Mincho">
    <w:altName w:val="宋体"/>
    <w:panose1 w:val="02020609040205080304"/>
    <w:charset w:val="80"/>
    <w:family w:val="modern"/>
    <w:pitch w:val="default"/>
    <w:sig w:usb0="00000000" w:usb1="00000000" w:usb2="00000012" w:usb3="00000000" w:csb0="4002009F" w:csb1="DFD7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文悦方糖体 (非商用)">
    <w:panose1 w:val="00000000000000000000"/>
    <w:charset w:val="86"/>
    <w:family w:val="auto"/>
    <w:pitch w:val="default"/>
    <w:sig w:usb0="00000003" w:usb1="0801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single" w:color="auto" w:sz="4" w:space="1"/>
      </w:pBdr>
      <w:ind w:right="-1"/>
      <w:jc w:val="center"/>
      <w:rPr>
        <w:rFonts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Bdr>
                              <w:top w:val="single" w:color="auto" w:sz="4" w:space="1"/>
                            </w:pBdr>
                            <w:ind w:right="-1"/>
                            <w:jc w:val="cente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47</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68</w:t>
                          </w:r>
                          <w:r>
                            <w:rPr>
                              <w:rFonts w:ascii="宋体" w:hAnsi="宋体"/>
                              <w:sz w:val="24"/>
                            </w:rPr>
                            <w:fldChar w:fldCharType="end"/>
                          </w:r>
                          <w:r>
                            <w:rPr>
                              <w:rFonts w:hint="eastAsia" w:ascii="宋体" w:hAnsi="宋体"/>
                              <w:sz w:val="24"/>
                            </w:rP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">
              <v:fill on="f" focussize="0,0"/>
              <v:stroke on="f"/>
              <v:imagedata o:title=""/>
              <o:lock v:ext="edit" aspectratio="f"/>
              <v:textbox inset="0mm,0mm,0mm,0mm" style="mso-fit-shape-to-text:t;">
                <w:txbxContent>
                  <w:p>
                    <w:pPr>
                      <w:pStyle w:val="26"/>
                      <w:pBdr>
                        <w:top w:val="single" w:color="auto" w:sz="4" w:space="1"/>
                      </w:pBdr>
                      <w:ind w:right="-1"/>
                      <w:jc w:val="cente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47</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68</w:t>
                    </w:r>
                    <w:r>
                      <w:rPr>
                        <w:rFonts w:ascii="宋体" w:hAnsi="宋体"/>
                        <w:sz w:val="24"/>
                      </w:rPr>
                      <w:fldChar w:fldCharType="end"/>
                    </w:r>
                    <w:r>
                      <w:rPr>
                        <w:rFonts w:hint="eastAsia" w:ascii="宋体" w:hAnsi="宋体"/>
                        <w:sz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r>
      <w:fldChar w:fldCharType="begin"/>
    </w:r>
    <w:r>
      <w:rPr>
        <w:rStyle w:val="44"/>
      </w:rPr>
      <w:instrText xml:space="preserve">PAGE  </w:instrText>
    </w:r>
    <w: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single" w:color="auto" w:sz="4" w:space="1"/>
      </w:pBdr>
      <w:ind w:right="-1"/>
      <w:jc w:val="center"/>
      <w:rPr>
        <w:rFonts w:ascii="宋体" w:hAns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Bdr>
                              <w:top w:val="single" w:color="auto" w:sz="4" w:space="1"/>
                            </w:pBdr>
                            <w:ind w:right="-1"/>
                            <w:jc w:val="cente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45</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68</w:t>
                          </w:r>
                          <w:r>
                            <w:rPr>
                              <w:rFonts w:ascii="宋体" w:hAnsi="宋体"/>
                              <w:sz w:val="24"/>
                            </w:rPr>
                            <w:fldChar w:fldCharType="end"/>
                          </w:r>
                          <w:r>
                            <w:rPr>
                              <w:rFonts w:hint="eastAsia" w:ascii="宋体" w:hAnsi="宋体"/>
                              <w:sz w:val="24"/>
                            </w:rP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">
              <v:fill on="f" focussize="0,0"/>
              <v:stroke on="f"/>
              <v:imagedata o:title=""/>
              <o:lock v:ext="edit" aspectratio="f"/>
              <v:textbox inset="0mm,0mm,0mm,0mm" style="mso-fit-shape-to-text:t;">
                <w:txbxContent>
                  <w:p>
                    <w:pPr>
                      <w:pStyle w:val="26"/>
                      <w:pBdr>
                        <w:top w:val="single" w:color="auto" w:sz="4" w:space="1"/>
                      </w:pBdr>
                      <w:ind w:right="-1"/>
                      <w:jc w:val="cente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45</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68</w:t>
                    </w:r>
                    <w:r>
                      <w:rPr>
                        <w:rFonts w:ascii="宋体" w:hAnsi="宋体"/>
                        <w:sz w:val="24"/>
                      </w:rPr>
                      <w:fldChar w:fldCharType="end"/>
                    </w:r>
                    <w:r>
                      <w:rPr>
                        <w:rFonts w:hint="eastAsia" w:ascii="宋体" w:hAnsi="宋体"/>
                        <w:sz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694D2"/>
    <w:multiLevelType w:val="singleLevel"/>
    <w:tmpl w:val="97A694D2"/>
    <w:lvl w:ilvl="0" w:tentative="0">
      <w:start w:val="1"/>
      <w:numFmt w:val="decimal"/>
      <w:lvlText w:val="%1."/>
      <w:lvlJc w:val="left"/>
      <w:pPr>
        <w:ind w:left="425" w:hanging="425"/>
      </w:pPr>
      <w:rPr>
        <w:rFonts w:hint="default"/>
      </w:rPr>
    </w:lvl>
  </w:abstractNum>
  <w:abstractNum w:abstractNumId="1">
    <w:nsid w:val="3FCF5C42"/>
    <w:multiLevelType w:val="singleLevel"/>
    <w:tmpl w:val="3FCF5C4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YjNhODE3MzNhNzM0YjNkMmJhZDEzYWEyNTI3NWYifQ=="/>
  </w:docVars>
  <w:rsids>
    <w:rsidRoot w:val="00521C5B"/>
    <w:rsid w:val="00000522"/>
    <w:rsid w:val="000017F0"/>
    <w:rsid w:val="0000215A"/>
    <w:rsid w:val="0000676D"/>
    <w:rsid w:val="000074ED"/>
    <w:rsid w:val="00007A0B"/>
    <w:rsid w:val="00014994"/>
    <w:rsid w:val="0001508C"/>
    <w:rsid w:val="000151F6"/>
    <w:rsid w:val="00015635"/>
    <w:rsid w:val="00015BDA"/>
    <w:rsid w:val="000168D7"/>
    <w:rsid w:val="000226A8"/>
    <w:rsid w:val="000236DF"/>
    <w:rsid w:val="000272AC"/>
    <w:rsid w:val="00030668"/>
    <w:rsid w:val="0003082A"/>
    <w:rsid w:val="00031407"/>
    <w:rsid w:val="00032C24"/>
    <w:rsid w:val="00036B2F"/>
    <w:rsid w:val="00040ED0"/>
    <w:rsid w:val="00041329"/>
    <w:rsid w:val="0004559C"/>
    <w:rsid w:val="00045834"/>
    <w:rsid w:val="00045AB1"/>
    <w:rsid w:val="00046B33"/>
    <w:rsid w:val="000500DD"/>
    <w:rsid w:val="000502C1"/>
    <w:rsid w:val="00050382"/>
    <w:rsid w:val="00051432"/>
    <w:rsid w:val="00051760"/>
    <w:rsid w:val="0005356D"/>
    <w:rsid w:val="00053C61"/>
    <w:rsid w:val="00055BAF"/>
    <w:rsid w:val="00062BD2"/>
    <w:rsid w:val="00062C8F"/>
    <w:rsid w:val="00066718"/>
    <w:rsid w:val="00066E83"/>
    <w:rsid w:val="00067AF9"/>
    <w:rsid w:val="00071811"/>
    <w:rsid w:val="00071826"/>
    <w:rsid w:val="00073780"/>
    <w:rsid w:val="00073AFA"/>
    <w:rsid w:val="00074100"/>
    <w:rsid w:val="00074808"/>
    <w:rsid w:val="000763D0"/>
    <w:rsid w:val="0007708E"/>
    <w:rsid w:val="00077558"/>
    <w:rsid w:val="0008019D"/>
    <w:rsid w:val="00080EBE"/>
    <w:rsid w:val="000811A8"/>
    <w:rsid w:val="0008309E"/>
    <w:rsid w:val="00083595"/>
    <w:rsid w:val="00083983"/>
    <w:rsid w:val="00084ACB"/>
    <w:rsid w:val="0008510D"/>
    <w:rsid w:val="000870D2"/>
    <w:rsid w:val="000900AE"/>
    <w:rsid w:val="00090E77"/>
    <w:rsid w:val="00092BC5"/>
    <w:rsid w:val="000950FB"/>
    <w:rsid w:val="000958AC"/>
    <w:rsid w:val="000967A3"/>
    <w:rsid w:val="000975ED"/>
    <w:rsid w:val="000A214C"/>
    <w:rsid w:val="000A2696"/>
    <w:rsid w:val="000A5173"/>
    <w:rsid w:val="000A66C1"/>
    <w:rsid w:val="000B2406"/>
    <w:rsid w:val="000B28C2"/>
    <w:rsid w:val="000B31EC"/>
    <w:rsid w:val="000B3659"/>
    <w:rsid w:val="000B3A14"/>
    <w:rsid w:val="000B4D92"/>
    <w:rsid w:val="000B54AB"/>
    <w:rsid w:val="000B5E20"/>
    <w:rsid w:val="000B7B0D"/>
    <w:rsid w:val="000B7F71"/>
    <w:rsid w:val="000C10D5"/>
    <w:rsid w:val="000C18B8"/>
    <w:rsid w:val="000C3ECA"/>
    <w:rsid w:val="000C43AD"/>
    <w:rsid w:val="000C59EB"/>
    <w:rsid w:val="000D0821"/>
    <w:rsid w:val="000D5BEB"/>
    <w:rsid w:val="000E06E4"/>
    <w:rsid w:val="000E08DC"/>
    <w:rsid w:val="000E1DF4"/>
    <w:rsid w:val="000E25C4"/>
    <w:rsid w:val="000E4E10"/>
    <w:rsid w:val="000E54C1"/>
    <w:rsid w:val="000F0570"/>
    <w:rsid w:val="000F0CC4"/>
    <w:rsid w:val="000F0D48"/>
    <w:rsid w:val="000F0F1E"/>
    <w:rsid w:val="000F216B"/>
    <w:rsid w:val="000F25AB"/>
    <w:rsid w:val="000F3924"/>
    <w:rsid w:val="000F4DD4"/>
    <w:rsid w:val="000F62C6"/>
    <w:rsid w:val="001008F2"/>
    <w:rsid w:val="00100F14"/>
    <w:rsid w:val="001011A5"/>
    <w:rsid w:val="00101482"/>
    <w:rsid w:val="001027F8"/>
    <w:rsid w:val="0010282C"/>
    <w:rsid w:val="00102D15"/>
    <w:rsid w:val="001031F5"/>
    <w:rsid w:val="00104896"/>
    <w:rsid w:val="00105D6C"/>
    <w:rsid w:val="00106499"/>
    <w:rsid w:val="00107476"/>
    <w:rsid w:val="00110B41"/>
    <w:rsid w:val="00110D10"/>
    <w:rsid w:val="0011121C"/>
    <w:rsid w:val="00111644"/>
    <w:rsid w:val="0011187B"/>
    <w:rsid w:val="00113530"/>
    <w:rsid w:val="0011576C"/>
    <w:rsid w:val="001159B6"/>
    <w:rsid w:val="00115B07"/>
    <w:rsid w:val="00116C23"/>
    <w:rsid w:val="00120A84"/>
    <w:rsid w:val="00124FCC"/>
    <w:rsid w:val="001263EA"/>
    <w:rsid w:val="00126F1F"/>
    <w:rsid w:val="001309E7"/>
    <w:rsid w:val="001310E0"/>
    <w:rsid w:val="00131B49"/>
    <w:rsid w:val="00131E3B"/>
    <w:rsid w:val="0013726D"/>
    <w:rsid w:val="00137823"/>
    <w:rsid w:val="001401AF"/>
    <w:rsid w:val="001429B9"/>
    <w:rsid w:val="00143ADF"/>
    <w:rsid w:val="00144ABD"/>
    <w:rsid w:val="00145BDE"/>
    <w:rsid w:val="0014694B"/>
    <w:rsid w:val="00146C87"/>
    <w:rsid w:val="00147BF3"/>
    <w:rsid w:val="0015084F"/>
    <w:rsid w:val="001511E9"/>
    <w:rsid w:val="00152732"/>
    <w:rsid w:val="0015293A"/>
    <w:rsid w:val="00153FB3"/>
    <w:rsid w:val="00154238"/>
    <w:rsid w:val="00155A64"/>
    <w:rsid w:val="00155FCD"/>
    <w:rsid w:val="0015663C"/>
    <w:rsid w:val="00156719"/>
    <w:rsid w:val="00156836"/>
    <w:rsid w:val="00156B3A"/>
    <w:rsid w:val="0015746E"/>
    <w:rsid w:val="00157D6B"/>
    <w:rsid w:val="0016008D"/>
    <w:rsid w:val="0016056E"/>
    <w:rsid w:val="001618EE"/>
    <w:rsid w:val="00161A56"/>
    <w:rsid w:val="001628ED"/>
    <w:rsid w:val="001653E1"/>
    <w:rsid w:val="001670AA"/>
    <w:rsid w:val="001713F9"/>
    <w:rsid w:val="00172073"/>
    <w:rsid w:val="00172CB6"/>
    <w:rsid w:val="00173964"/>
    <w:rsid w:val="00174590"/>
    <w:rsid w:val="00175C97"/>
    <w:rsid w:val="001765FA"/>
    <w:rsid w:val="0017755E"/>
    <w:rsid w:val="00177D3C"/>
    <w:rsid w:val="00181433"/>
    <w:rsid w:val="001819BA"/>
    <w:rsid w:val="00181D96"/>
    <w:rsid w:val="00183A60"/>
    <w:rsid w:val="001848B1"/>
    <w:rsid w:val="00184F09"/>
    <w:rsid w:val="00185FAD"/>
    <w:rsid w:val="00193884"/>
    <w:rsid w:val="00194D9A"/>
    <w:rsid w:val="00197551"/>
    <w:rsid w:val="001A03D8"/>
    <w:rsid w:val="001A0A8F"/>
    <w:rsid w:val="001A0BC4"/>
    <w:rsid w:val="001A26B4"/>
    <w:rsid w:val="001A3A59"/>
    <w:rsid w:val="001A4AB6"/>
    <w:rsid w:val="001A4F38"/>
    <w:rsid w:val="001A6B89"/>
    <w:rsid w:val="001A6EE7"/>
    <w:rsid w:val="001B0D35"/>
    <w:rsid w:val="001B156F"/>
    <w:rsid w:val="001B216D"/>
    <w:rsid w:val="001B288F"/>
    <w:rsid w:val="001B2CCA"/>
    <w:rsid w:val="001B3607"/>
    <w:rsid w:val="001B3734"/>
    <w:rsid w:val="001B3AAC"/>
    <w:rsid w:val="001B3DDF"/>
    <w:rsid w:val="001B5905"/>
    <w:rsid w:val="001B60D6"/>
    <w:rsid w:val="001C1EB2"/>
    <w:rsid w:val="001C2180"/>
    <w:rsid w:val="001C2784"/>
    <w:rsid w:val="001C32EB"/>
    <w:rsid w:val="001C3843"/>
    <w:rsid w:val="001C3EE9"/>
    <w:rsid w:val="001C6465"/>
    <w:rsid w:val="001C656E"/>
    <w:rsid w:val="001C6F3F"/>
    <w:rsid w:val="001C71DC"/>
    <w:rsid w:val="001C7926"/>
    <w:rsid w:val="001D06D9"/>
    <w:rsid w:val="001D1827"/>
    <w:rsid w:val="001D1B4B"/>
    <w:rsid w:val="001D1F4B"/>
    <w:rsid w:val="001D4B5D"/>
    <w:rsid w:val="001D4EB2"/>
    <w:rsid w:val="001D5F81"/>
    <w:rsid w:val="001E069E"/>
    <w:rsid w:val="001E1051"/>
    <w:rsid w:val="001E4881"/>
    <w:rsid w:val="001E5174"/>
    <w:rsid w:val="001F047C"/>
    <w:rsid w:val="001F0974"/>
    <w:rsid w:val="001F3D16"/>
    <w:rsid w:val="00200786"/>
    <w:rsid w:val="0020086E"/>
    <w:rsid w:val="00200DCB"/>
    <w:rsid w:val="00203248"/>
    <w:rsid w:val="0020450F"/>
    <w:rsid w:val="00205622"/>
    <w:rsid w:val="00205833"/>
    <w:rsid w:val="002078A3"/>
    <w:rsid w:val="002078EE"/>
    <w:rsid w:val="00210195"/>
    <w:rsid w:val="0021095F"/>
    <w:rsid w:val="0021126C"/>
    <w:rsid w:val="00211A2A"/>
    <w:rsid w:val="00211CDE"/>
    <w:rsid w:val="0021292A"/>
    <w:rsid w:val="00213628"/>
    <w:rsid w:val="00213F1E"/>
    <w:rsid w:val="002177F1"/>
    <w:rsid w:val="0022008D"/>
    <w:rsid w:val="0022071C"/>
    <w:rsid w:val="00221B37"/>
    <w:rsid w:val="00221ED7"/>
    <w:rsid w:val="00223A65"/>
    <w:rsid w:val="00223EE1"/>
    <w:rsid w:val="00224766"/>
    <w:rsid w:val="00225236"/>
    <w:rsid w:val="002263FA"/>
    <w:rsid w:val="00230D96"/>
    <w:rsid w:val="0023154A"/>
    <w:rsid w:val="0023523A"/>
    <w:rsid w:val="00235EEF"/>
    <w:rsid w:val="002401A4"/>
    <w:rsid w:val="002406EE"/>
    <w:rsid w:val="00240E65"/>
    <w:rsid w:val="00242CF0"/>
    <w:rsid w:val="002437A3"/>
    <w:rsid w:val="00243AF5"/>
    <w:rsid w:val="00244C2E"/>
    <w:rsid w:val="0024648B"/>
    <w:rsid w:val="00246E6D"/>
    <w:rsid w:val="00247EA3"/>
    <w:rsid w:val="00252589"/>
    <w:rsid w:val="0025329C"/>
    <w:rsid w:val="00254210"/>
    <w:rsid w:val="0025483D"/>
    <w:rsid w:val="0025581A"/>
    <w:rsid w:val="002562E6"/>
    <w:rsid w:val="002614FA"/>
    <w:rsid w:val="002620E5"/>
    <w:rsid w:val="002640FA"/>
    <w:rsid w:val="00264A56"/>
    <w:rsid w:val="00266520"/>
    <w:rsid w:val="00270162"/>
    <w:rsid w:val="00270215"/>
    <w:rsid w:val="00270987"/>
    <w:rsid w:val="0027102E"/>
    <w:rsid w:val="00271951"/>
    <w:rsid w:val="00271E4B"/>
    <w:rsid w:val="0027311B"/>
    <w:rsid w:val="00274336"/>
    <w:rsid w:val="002752C1"/>
    <w:rsid w:val="0027645F"/>
    <w:rsid w:val="00276524"/>
    <w:rsid w:val="0028075E"/>
    <w:rsid w:val="002817DF"/>
    <w:rsid w:val="00281E5C"/>
    <w:rsid w:val="002825B6"/>
    <w:rsid w:val="00282D9B"/>
    <w:rsid w:val="002838AF"/>
    <w:rsid w:val="00283E63"/>
    <w:rsid w:val="0028522B"/>
    <w:rsid w:val="00285350"/>
    <w:rsid w:val="00285487"/>
    <w:rsid w:val="00285ACE"/>
    <w:rsid w:val="0028618D"/>
    <w:rsid w:val="002863E7"/>
    <w:rsid w:val="00286736"/>
    <w:rsid w:val="0029031C"/>
    <w:rsid w:val="002908D1"/>
    <w:rsid w:val="00292B7E"/>
    <w:rsid w:val="002936F0"/>
    <w:rsid w:val="002947F0"/>
    <w:rsid w:val="00295FE6"/>
    <w:rsid w:val="002A01D0"/>
    <w:rsid w:val="002A08C6"/>
    <w:rsid w:val="002A0E47"/>
    <w:rsid w:val="002A19E4"/>
    <w:rsid w:val="002A1EED"/>
    <w:rsid w:val="002A3CD7"/>
    <w:rsid w:val="002A68E8"/>
    <w:rsid w:val="002A7683"/>
    <w:rsid w:val="002B20F5"/>
    <w:rsid w:val="002B2B76"/>
    <w:rsid w:val="002B2E4C"/>
    <w:rsid w:val="002B4706"/>
    <w:rsid w:val="002B4A53"/>
    <w:rsid w:val="002B5CC5"/>
    <w:rsid w:val="002B5DF0"/>
    <w:rsid w:val="002B631D"/>
    <w:rsid w:val="002C0451"/>
    <w:rsid w:val="002C272E"/>
    <w:rsid w:val="002C3C8C"/>
    <w:rsid w:val="002C4D3A"/>
    <w:rsid w:val="002C5AEF"/>
    <w:rsid w:val="002C6D0D"/>
    <w:rsid w:val="002D3584"/>
    <w:rsid w:val="002D3CCD"/>
    <w:rsid w:val="002D4C6D"/>
    <w:rsid w:val="002D6CBB"/>
    <w:rsid w:val="002D7D5C"/>
    <w:rsid w:val="002E369F"/>
    <w:rsid w:val="002E3847"/>
    <w:rsid w:val="002E438F"/>
    <w:rsid w:val="002E78F8"/>
    <w:rsid w:val="002F0550"/>
    <w:rsid w:val="002F09B1"/>
    <w:rsid w:val="002F1E3C"/>
    <w:rsid w:val="002F30EA"/>
    <w:rsid w:val="002F3EF7"/>
    <w:rsid w:val="002F418B"/>
    <w:rsid w:val="002F75CF"/>
    <w:rsid w:val="003003B2"/>
    <w:rsid w:val="00300B36"/>
    <w:rsid w:val="00300BB3"/>
    <w:rsid w:val="00300D24"/>
    <w:rsid w:val="0030143B"/>
    <w:rsid w:val="003017AE"/>
    <w:rsid w:val="00301A12"/>
    <w:rsid w:val="00302162"/>
    <w:rsid w:val="00302945"/>
    <w:rsid w:val="00304284"/>
    <w:rsid w:val="003046F4"/>
    <w:rsid w:val="003060A7"/>
    <w:rsid w:val="003079A6"/>
    <w:rsid w:val="00307AF4"/>
    <w:rsid w:val="00310FFB"/>
    <w:rsid w:val="00311D17"/>
    <w:rsid w:val="00312078"/>
    <w:rsid w:val="00312CBF"/>
    <w:rsid w:val="0031318A"/>
    <w:rsid w:val="003136BB"/>
    <w:rsid w:val="00315223"/>
    <w:rsid w:val="00315B6E"/>
    <w:rsid w:val="00321433"/>
    <w:rsid w:val="00326A0C"/>
    <w:rsid w:val="00326C59"/>
    <w:rsid w:val="00326E3C"/>
    <w:rsid w:val="003304F4"/>
    <w:rsid w:val="00331340"/>
    <w:rsid w:val="00332A8B"/>
    <w:rsid w:val="00335125"/>
    <w:rsid w:val="00336AD9"/>
    <w:rsid w:val="00336BE2"/>
    <w:rsid w:val="00340832"/>
    <w:rsid w:val="003409BD"/>
    <w:rsid w:val="00341C5B"/>
    <w:rsid w:val="00342715"/>
    <w:rsid w:val="0034447C"/>
    <w:rsid w:val="00345BE9"/>
    <w:rsid w:val="00347470"/>
    <w:rsid w:val="0034774F"/>
    <w:rsid w:val="00350464"/>
    <w:rsid w:val="00353421"/>
    <w:rsid w:val="00354AE3"/>
    <w:rsid w:val="00354E42"/>
    <w:rsid w:val="003561D2"/>
    <w:rsid w:val="003570E3"/>
    <w:rsid w:val="003573C0"/>
    <w:rsid w:val="003577C3"/>
    <w:rsid w:val="003605F3"/>
    <w:rsid w:val="0036179C"/>
    <w:rsid w:val="0036212B"/>
    <w:rsid w:val="00364604"/>
    <w:rsid w:val="00364D8D"/>
    <w:rsid w:val="00366B12"/>
    <w:rsid w:val="00366C31"/>
    <w:rsid w:val="00375DE8"/>
    <w:rsid w:val="0037682A"/>
    <w:rsid w:val="00377446"/>
    <w:rsid w:val="00377618"/>
    <w:rsid w:val="003819B8"/>
    <w:rsid w:val="00387A82"/>
    <w:rsid w:val="00391E77"/>
    <w:rsid w:val="003923AB"/>
    <w:rsid w:val="00393167"/>
    <w:rsid w:val="00396F25"/>
    <w:rsid w:val="0039720F"/>
    <w:rsid w:val="003972DE"/>
    <w:rsid w:val="00397DCD"/>
    <w:rsid w:val="003A0648"/>
    <w:rsid w:val="003A0D23"/>
    <w:rsid w:val="003A459C"/>
    <w:rsid w:val="003A48BF"/>
    <w:rsid w:val="003B02E8"/>
    <w:rsid w:val="003B21E1"/>
    <w:rsid w:val="003B3AD5"/>
    <w:rsid w:val="003B3BA6"/>
    <w:rsid w:val="003B5132"/>
    <w:rsid w:val="003B694C"/>
    <w:rsid w:val="003C175B"/>
    <w:rsid w:val="003C1827"/>
    <w:rsid w:val="003C1AFA"/>
    <w:rsid w:val="003C206A"/>
    <w:rsid w:val="003C261B"/>
    <w:rsid w:val="003C32B8"/>
    <w:rsid w:val="003C3CB3"/>
    <w:rsid w:val="003C6BF1"/>
    <w:rsid w:val="003D0BAD"/>
    <w:rsid w:val="003D0BBB"/>
    <w:rsid w:val="003D3201"/>
    <w:rsid w:val="003D324E"/>
    <w:rsid w:val="003D38FE"/>
    <w:rsid w:val="003D45FC"/>
    <w:rsid w:val="003D4A99"/>
    <w:rsid w:val="003D5BD9"/>
    <w:rsid w:val="003D71C9"/>
    <w:rsid w:val="003E07DF"/>
    <w:rsid w:val="003E109C"/>
    <w:rsid w:val="003E1581"/>
    <w:rsid w:val="003E1766"/>
    <w:rsid w:val="003E2644"/>
    <w:rsid w:val="003E2E6C"/>
    <w:rsid w:val="003E4164"/>
    <w:rsid w:val="003E4AFF"/>
    <w:rsid w:val="003E4B9C"/>
    <w:rsid w:val="003E5E30"/>
    <w:rsid w:val="003E71FF"/>
    <w:rsid w:val="003E75B9"/>
    <w:rsid w:val="003F0B44"/>
    <w:rsid w:val="003F0DFE"/>
    <w:rsid w:val="003F1E7A"/>
    <w:rsid w:val="003F47FF"/>
    <w:rsid w:val="003F4EE5"/>
    <w:rsid w:val="003F5929"/>
    <w:rsid w:val="003F65A5"/>
    <w:rsid w:val="003F665B"/>
    <w:rsid w:val="003F7CFB"/>
    <w:rsid w:val="004000A1"/>
    <w:rsid w:val="00400108"/>
    <w:rsid w:val="0040095D"/>
    <w:rsid w:val="00401082"/>
    <w:rsid w:val="00401744"/>
    <w:rsid w:val="004028E7"/>
    <w:rsid w:val="0040492F"/>
    <w:rsid w:val="00407EDB"/>
    <w:rsid w:val="004100C7"/>
    <w:rsid w:val="0041089B"/>
    <w:rsid w:val="004110D2"/>
    <w:rsid w:val="00411583"/>
    <w:rsid w:val="0041397A"/>
    <w:rsid w:val="00414733"/>
    <w:rsid w:val="00414929"/>
    <w:rsid w:val="00416AB4"/>
    <w:rsid w:val="00417E77"/>
    <w:rsid w:val="004200DA"/>
    <w:rsid w:val="00420489"/>
    <w:rsid w:val="00420853"/>
    <w:rsid w:val="00420D23"/>
    <w:rsid w:val="00422953"/>
    <w:rsid w:val="00422A24"/>
    <w:rsid w:val="00425CE6"/>
    <w:rsid w:val="00426633"/>
    <w:rsid w:val="00427509"/>
    <w:rsid w:val="00431EF2"/>
    <w:rsid w:val="00432388"/>
    <w:rsid w:val="004336E0"/>
    <w:rsid w:val="00433834"/>
    <w:rsid w:val="004341E7"/>
    <w:rsid w:val="0043507A"/>
    <w:rsid w:val="0043649E"/>
    <w:rsid w:val="00436BF7"/>
    <w:rsid w:val="00436F47"/>
    <w:rsid w:val="004376D8"/>
    <w:rsid w:val="00437B56"/>
    <w:rsid w:val="00437F18"/>
    <w:rsid w:val="00440873"/>
    <w:rsid w:val="00442307"/>
    <w:rsid w:val="00442530"/>
    <w:rsid w:val="00443BDB"/>
    <w:rsid w:val="0044599B"/>
    <w:rsid w:val="00445BDB"/>
    <w:rsid w:val="00447322"/>
    <w:rsid w:val="00450AAA"/>
    <w:rsid w:val="00450C23"/>
    <w:rsid w:val="004519B1"/>
    <w:rsid w:val="00451DB8"/>
    <w:rsid w:val="0045207B"/>
    <w:rsid w:val="00452EE5"/>
    <w:rsid w:val="004531B3"/>
    <w:rsid w:val="004532A9"/>
    <w:rsid w:val="004536E1"/>
    <w:rsid w:val="004542C1"/>
    <w:rsid w:val="004557E1"/>
    <w:rsid w:val="00456256"/>
    <w:rsid w:val="004563BE"/>
    <w:rsid w:val="004604B3"/>
    <w:rsid w:val="0046068D"/>
    <w:rsid w:val="004624BF"/>
    <w:rsid w:val="00462C89"/>
    <w:rsid w:val="00463AF8"/>
    <w:rsid w:val="00463D34"/>
    <w:rsid w:val="00464B13"/>
    <w:rsid w:val="00464C81"/>
    <w:rsid w:val="004667BE"/>
    <w:rsid w:val="00466CB9"/>
    <w:rsid w:val="004719D7"/>
    <w:rsid w:val="0047608D"/>
    <w:rsid w:val="00476ED1"/>
    <w:rsid w:val="00477EC3"/>
    <w:rsid w:val="004806B2"/>
    <w:rsid w:val="004820CA"/>
    <w:rsid w:val="0048303B"/>
    <w:rsid w:val="0048358D"/>
    <w:rsid w:val="004849E2"/>
    <w:rsid w:val="00485C70"/>
    <w:rsid w:val="004915A4"/>
    <w:rsid w:val="0049334B"/>
    <w:rsid w:val="00495644"/>
    <w:rsid w:val="0049566E"/>
    <w:rsid w:val="00497E1B"/>
    <w:rsid w:val="004A1D56"/>
    <w:rsid w:val="004A46AB"/>
    <w:rsid w:val="004A4A99"/>
    <w:rsid w:val="004A50C7"/>
    <w:rsid w:val="004A5A30"/>
    <w:rsid w:val="004A5D8C"/>
    <w:rsid w:val="004A7031"/>
    <w:rsid w:val="004B0CA2"/>
    <w:rsid w:val="004B2BAB"/>
    <w:rsid w:val="004B2ECD"/>
    <w:rsid w:val="004B4207"/>
    <w:rsid w:val="004B6562"/>
    <w:rsid w:val="004C003B"/>
    <w:rsid w:val="004C02EC"/>
    <w:rsid w:val="004C03C5"/>
    <w:rsid w:val="004C09C1"/>
    <w:rsid w:val="004C14F3"/>
    <w:rsid w:val="004C15D5"/>
    <w:rsid w:val="004C15E1"/>
    <w:rsid w:val="004C3216"/>
    <w:rsid w:val="004C35C5"/>
    <w:rsid w:val="004C4205"/>
    <w:rsid w:val="004C7739"/>
    <w:rsid w:val="004C7AAE"/>
    <w:rsid w:val="004D04BA"/>
    <w:rsid w:val="004D2474"/>
    <w:rsid w:val="004D2A7E"/>
    <w:rsid w:val="004D2BAC"/>
    <w:rsid w:val="004D2DA0"/>
    <w:rsid w:val="004D2F1A"/>
    <w:rsid w:val="004D3D60"/>
    <w:rsid w:val="004D5731"/>
    <w:rsid w:val="004E05E2"/>
    <w:rsid w:val="004E1429"/>
    <w:rsid w:val="004E2414"/>
    <w:rsid w:val="004E3073"/>
    <w:rsid w:val="004E7963"/>
    <w:rsid w:val="004F0AE8"/>
    <w:rsid w:val="004F1A65"/>
    <w:rsid w:val="004F1DEB"/>
    <w:rsid w:val="004F3BF7"/>
    <w:rsid w:val="004F586E"/>
    <w:rsid w:val="004F6A13"/>
    <w:rsid w:val="005003A5"/>
    <w:rsid w:val="00501529"/>
    <w:rsid w:val="005023D5"/>
    <w:rsid w:val="0050571B"/>
    <w:rsid w:val="0050674C"/>
    <w:rsid w:val="0051148B"/>
    <w:rsid w:val="005126B7"/>
    <w:rsid w:val="00512F34"/>
    <w:rsid w:val="00514CC4"/>
    <w:rsid w:val="005150DB"/>
    <w:rsid w:val="005162E1"/>
    <w:rsid w:val="00517D27"/>
    <w:rsid w:val="00517E19"/>
    <w:rsid w:val="00520301"/>
    <w:rsid w:val="00521C5B"/>
    <w:rsid w:val="005229D2"/>
    <w:rsid w:val="005240D4"/>
    <w:rsid w:val="0052411F"/>
    <w:rsid w:val="005248CC"/>
    <w:rsid w:val="00525C5E"/>
    <w:rsid w:val="0052653A"/>
    <w:rsid w:val="00526EF7"/>
    <w:rsid w:val="00527806"/>
    <w:rsid w:val="005315C4"/>
    <w:rsid w:val="00531AC6"/>
    <w:rsid w:val="00533C0E"/>
    <w:rsid w:val="0053421D"/>
    <w:rsid w:val="00534466"/>
    <w:rsid w:val="00535DD8"/>
    <w:rsid w:val="0053693D"/>
    <w:rsid w:val="00536B48"/>
    <w:rsid w:val="005373C8"/>
    <w:rsid w:val="00537FE6"/>
    <w:rsid w:val="00542983"/>
    <w:rsid w:val="005435B9"/>
    <w:rsid w:val="005438D0"/>
    <w:rsid w:val="00543D24"/>
    <w:rsid w:val="00544E54"/>
    <w:rsid w:val="0054585A"/>
    <w:rsid w:val="00545FD3"/>
    <w:rsid w:val="0055056B"/>
    <w:rsid w:val="005506CC"/>
    <w:rsid w:val="0055233C"/>
    <w:rsid w:val="0055244D"/>
    <w:rsid w:val="005529C0"/>
    <w:rsid w:val="00552E0F"/>
    <w:rsid w:val="005532B4"/>
    <w:rsid w:val="00553A34"/>
    <w:rsid w:val="00553E95"/>
    <w:rsid w:val="00556DBA"/>
    <w:rsid w:val="00557417"/>
    <w:rsid w:val="005607D2"/>
    <w:rsid w:val="00560FA7"/>
    <w:rsid w:val="00561BBB"/>
    <w:rsid w:val="00562368"/>
    <w:rsid w:val="005623E5"/>
    <w:rsid w:val="0056262E"/>
    <w:rsid w:val="00563642"/>
    <w:rsid w:val="005639B4"/>
    <w:rsid w:val="005642F9"/>
    <w:rsid w:val="00566D5C"/>
    <w:rsid w:val="00566F0E"/>
    <w:rsid w:val="00570384"/>
    <w:rsid w:val="005708A2"/>
    <w:rsid w:val="00570CA9"/>
    <w:rsid w:val="00571845"/>
    <w:rsid w:val="00572BF4"/>
    <w:rsid w:val="005756B2"/>
    <w:rsid w:val="00576AB9"/>
    <w:rsid w:val="005778C3"/>
    <w:rsid w:val="005820F2"/>
    <w:rsid w:val="00584A62"/>
    <w:rsid w:val="00590C2F"/>
    <w:rsid w:val="005931EA"/>
    <w:rsid w:val="005952BA"/>
    <w:rsid w:val="005969F5"/>
    <w:rsid w:val="00596E7A"/>
    <w:rsid w:val="005A0709"/>
    <w:rsid w:val="005A08D9"/>
    <w:rsid w:val="005A2206"/>
    <w:rsid w:val="005A34F0"/>
    <w:rsid w:val="005A566E"/>
    <w:rsid w:val="005A6767"/>
    <w:rsid w:val="005A6C2F"/>
    <w:rsid w:val="005A6D50"/>
    <w:rsid w:val="005B0CE6"/>
    <w:rsid w:val="005B195D"/>
    <w:rsid w:val="005B39C3"/>
    <w:rsid w:val="005B39DD"/>
    <w:rsid w:val="005B5B31"/>
    <w:rsid w:val="005B771B"/>
    <w:rsid w:val="005C0C28"/>
    <w:rsid w:val="005C2F5B"/>
    <w:rsid w:val="005C4132"/>
    <w:rsid w:val="005C4F76"/>
    <w:rsid w:val="005C7F6F"/>
    <w:rsid w:val="005D0003"/>
    <w:rsid w:val="005D16EF"/>
    <w:rsid w:val="005D227F"/>
    <w:rsid w:val="005D3157"/>
    <w:rsid w:val="005D3673"/>
    <w:rsid w:val="005D71DB"/>
    <w:rsid w:val="005D7723"/>
    <w:rsid w:val="005E0B90"/>
    <w:rsid w:val="005E2C57"/>
    <w:rsid w:val="005E3E0C"/>
    <w:rsid w:val="005E3E28"/>
    <w:rsid w:val="005E580B"/>
    <w:rsid w:val="005E5A81"/>
    <w:rsid w:val="005E60B0"/>
    <w:rsid w:val="005E668A"/>
    <w:rsid w:val="005F3BE8"/>
    <w:rsid w:val="005F674C"/>
    <w:rsid w:val="005F6824"/>
    <w:rsid w:val="005F697C"/>
    <w:rsid w:val="005F70A3"/>
    <w:rsid w:val="005F7FD4"/>
    <w:rsid w:val="0060117C"/>
    <w:rsid w:val="006015FC"/>
    <w:rsid w:val="0060167F"/>
    <w:rsid w:val="0060274C"/>
    <w:rsid w:val="006034E2"/>
    <w:rsid w:val="006050DA"/>
    <w:rsid w:val="00606D1B"/>
    <w:rsid w:val="00611767"/>
    <w:rsid w:val="00611D2D"/>
    <w:rsid w:val="006133F6"/>
    <w:rsid w:val="00613DCD"/>
    <w:rsid w:val="006141A3"/>
    <w:rsid w:val="00615D6C"/>
    <w:rsid w:val="00616616"/>
    <w:rsid w:val="00620922"/>
    <w:rsid w:val="006209DE"/>
    <w:rsid w:val="006220D2"/>
    <w:rsid w:val="00623B47"/>
    <w:rsid w:val="00624E44"/>
    <w:rsid w:val="00625884"/>
    <w:rsid w:val="00626190"/>
    <w:rsid w:val="00627445"/>
    <w:rsid w:val="00627F95"/>
    <w:rsid w:val="00631495"/>
    <w:rsid w:val="00632A70"/>
    <w:rsid w:val="0063306C"/>
    <w:rsid w:val="00633218"/>
    <w:rsid w:val="00633546"/>
    <w:rsid w:val="0063486D"/>
    <w:rsid w:val="00634E93"/>
    <w:rsid w:val="00636B34"/>
    <w:rsid w:val="006408EB"/>
    <w:rsid w:val="00640C13"/>
    <w:rsid w:val="00640DAC"/>
    <w:rsid w:val="00642E32"/>
    <w:rsid w:val="006450C0"/>
    <w:rsid w:val="00646363"/>
    <w:rsid w:val="006473D4"/>
    <w:rsid w:val="006477FD"/>
    <w:rsid w:val="00647924"/>
    <w:rsid w:val="00653159"/>
    <w:rsid w:val="006545E4"/>
    <w:rsid w:val="0065519C"/>
    <w:rsid w:val="006562B3"/>
    <w:rsid w:val="00656811"/>
    <w:rsid w:val="006576AC"/>
    <w:rsid w:val="00660D8D"/>
    <w:rsid w:val="00663D32"/>
    <w:rsid w:val="00665609"/>
    <w:rsid w:val="00665FF6"/>
    <w:rsid w:val="006661FC"/>
    <w:rsid w:val="00666D60"/>
    <w:rsid w:val="0066709D"/>
    <w:rsid w:val="00667BB1"/>
    <w:rsid w:val="006700FA"/>
    <w:rsid w:val="00670389"/>
    <w:rsid w:val="00670520"/>
    <w:rsid w:val="0067065B"/>
    <w:rsid w:val="0067298B"/>
    <w:rsid w:val="00673783"/>
    <w:rsid w:val="006744B4"/>
    <w:rsid w:val="0067474A"/>
    <w:rsid w:val="006753BE"/>
    <w:rsid w:val="0068060E"/>
    <w:rsid w:val="0068197C"/>
    <w:rsid w:val="00683277"/>
    <w:rsid w:val="0068361F"/>
    <w:rsid w:val="00684459"/>
    <w:rsid w:val="00686809"/>
    <w:rsid w:val="00686E8A"/>
    <w:rsid w:val="00690423"/>
    <w:rsid w:val="006905E6"/>
    <w:rsid w:val="006926B3"/>
    <w:rsid w:val="006927B9"/>
    <w:rsid w:val="00694F7D"/>
    <w:rsid w:val="006A19FB"/>
    <w:rsid w:val="006A5847"/>
    <w:rsid w:val="006A7144"/>
    <w:rsid w:val="006B1DD2"/>
    <w:rsid w:val="006B3A3A"/>
    <w:rsid w:val="006B5B14"/>
    <w:rsid w:val="006B5CFF"/>
    <w:rsid w:val="006B7AB2"/>
    <w:rsid w:val="006B7DEE"/>
    <w:rsid w:val="006C0294"/>
    <w:rsid w:val="006C03B5"/>
    <w:rsid w:val="006C0CB0"/>
    <w:rsid w:val="006C0FB7"/>
    <w:rsid w:val="006C39EF"/>
    <w:rsid w:val="006C7DF9"/>
    <w:rsid w:val="006D0A57"/>
    <w:rsid w:val="006D0E69"/>
    <w:rsid w:val="006D16D4"/>
    <w:rsid w:val="006D2860"/>
    <w:rsid w:val="006D29F5"/>
    <w:rsid w:val="006D3CE2"/>
    <w:rsid w:val="006D6866"/>
    <w:rsid w:val="006D6E03"/>
    <w:rsid w:val="006D704E"/>
    <w:rsid w:val="006D7F84"/>
    <w:rsid w:val="006E05BE"/>
    <w:rsid w:val="006E359D"/>
    <w:rsid w:val="006E3B85"/>
    <w:rsid w:val="006F485C"/>
    <w:rsid w:val="006F5174"/>
    <w:rsid w:val="006F6C4B"/>
    <w:rsid w:val="006F7294"/>
    <w:rsid w:val="00705884"/>
    <w:rsid w:val="007125A8"/>
    <w:rsid w:val="0071491E"/>
    <w:rsid w:val="007151A9"/>
    <w:rsid w:val="00715362"/>
    <w:rsid w:val="007155E8"/>
    <w:rsid w:val="007177D6"/>
    <w:rsid w:val="00722075"/>
    <w:rsid w:val="00723AA9"/>
    <w:rsid w:val="00726759"/>
    <w:rsid w:val="00731762"/>
    <w:rsid w:val="00732187"/>
    <w:rsid w:val="007325E4"/>
    <w:rsid w:val="00732C72"/>
    <w:rsid w:val="00732CD7"/>
    <w:rsid w:val="00734198"/>
    <w:rsid w:val="00735561"/>
    <w:rsid w:val="007375D1"/>
    <w:rsid w:val="00737945"/>
    <w:rsid w:val="00740A37"/>
    <w:rsid w:val="00741113"/>
    <w:rsid w:val="00742E78"/>
    <w:rsid w:val="0074315C"/>
    <w:rsid w:val="00743352"/>
    <w:rsid w:val="00745002"/>
    <w:rsid w:val="007476F8"/>
    <w:rsid w:val="007503D1"/>
    <w:rsid w:val="00750825"/>
    <w:rsid w:val="00750CC3"/>
    <w:rsid w:val="00751834"/>
    <w:rsid w:val="0075223E"/>
    <w:rsid w:val="00753143"/>
    <w:rsid w:val="007551CF"/>
    <w:rsid w:val="00757A04"/>
    <w:rsid w:val="00760329"/>
    <w:rsid w:val="00760379"/>
    <w:rsid w:val="0076104A"/>
    <w:rsid w:val="00762FEF"/>
    <w:rsid w:val="007631E2"/>
    <w:rsid w:val="0076355F"/>
    <w:rsid w:val="00763E3A"/>
    <w:rsid w:val="00764E4E"/>
    <w:rsid w:val="00764F28"/>
    <w:rsid w:val="00765232"/>
    <w:rsid w:val="0076591E"/>
    <w:rsid w:val="007666FA"/>
    <w:rsid w:val="00767518"/>
    <w:rsid w:val="007704A9"/>
    <w:rsid w:val="00771C5A"/>
    <w:rsid w:val="00771D94"/>
    <w:rsid w:val="00771E69"/>
    <w:rsid w:val="00771F02"/>
    <w:rsid w:val="00773C82"/>
    <w:rsid w:val="00774761"/>
    <w:rsid w:val="00776266"/>
    <w:rsid w:val="00776AA1"/>
    <w:rsid w:val="0077708B"/>
    <w:rsid w:val="00777F67"/>
    <w:rsid w:val="0078127A"/>
    <w:rsid w:val="00782D2C"/>
    <w:rsid w:val="00783467"/>
    <w:rsid w:val="00784555"/>
    <w:rsid w:val="00784CD4"/>
    <w:rsid w:val="007862C4"/>
    <w:rsid w:val="00787BD6"/>
    <w:rsid w:val="00790B9E"/>
    <w:rsid w:val="00790D12"/>
    <w:rsid w:val="00791B92"/>
    <w:rsid w:val="007937F0"/>
    <w:rsid w:val="0079526B"/>
    <w:rsid w:val="00795BB4"/>
    <w:rsid w:val="00796DEE"/>
    <w:rsid w:val="007972ED"/>
    <w:rsid w:val="007A0CAA"/>
    <w:rsid w:val="007A1DF6"/>
    <w:rsid w:val="007A1FB4"/>
    <w:rsid w:val="007A282D"/>
    <w:rsid w:val="007B2765"/>
    <w:rsid w:val="007B2875"/>
    <w:rsid w:val="007B42FE"/>
    <w:rsid w:val="007B4C86"/>
    <w:rsid w:val="007B4D95"/>
    <w:rsid w:val="007B5457"/>
    <w:rsid w:val="007C058E"/>
    <w:rsid w:val="007C0AB8"/>
    <w:rsid w:val="007C3BC2"/>
    <w:rsid w:val="007C45DD"/>
    <w:rsid w:val="007C7682"/>
    <w:rsid w:val="007D0D56"/>
    <w:rsid w:val="007D1DBE"/>
    <w:rsid w:val="007D1F99"/>
    <w:rsid w:val="007D2057"/>
    <w:rsid w:val="007D38AA"/>
    <w:rsid w:val="007D3D16"/>
    <w:rsid w:val="007D4EFB"/>
    <w:rsid w:val="007D56C6"/>
    <w:rsid w:val="007D6B0B"/>
    <w:rsid w:val="007E0AAC"/>
    <w:rsid w:val="007E46A6"/>
    <w:rsid w:val="007E4BB7"/>
    <w:rsid w:val="007E6229"/>
    <w:rsid w:val="007E756C"/>
    <w:rsid w:val="007F0993"/>
    <w:rsid w:val="007F13A4"/>
    <w:rsid w:val="007F2F62"/>
    <w:rsid w:val="007F404A"/>
    <w:rsid w:val="007F41DC"/>
    <w:rsid w:val="007F44F4"/>
    <w:rsid w:val="007F63E2"/>
    <w:rsid w:val="007F664B"/>
    <w:rsid w:val="007F6CF8"/>
    <w:rsid w:val="007F7254"/>
    <w:rsid w:val="007F72C8"/>
    <w:rsid w:val="007F7AC8"/>
    <w:rsid w:val="0080057B"/>
    <w:rsid w:val="00800F0B"/>
    <w:rsid w:val="0080110D"/>
    <w:rsid w:val="00801667"/>
    <w:rsid w:val="00802923"/>
    <w:rsid w:val="00802AF9"/>
    <w:rsid w:val="00802CEA"/>
    <w:rsid w:val="00803F8C"/>
    <w:rsid w:val="00804859"/>
    <w:rsid w:val="00806015"/>
    <w:rsid w:val="0080627C"/>
    <w:rsid w:val="0080641F"/>
    <w:rsid w:val="00806B73"/>
    <w:rsid w:val="00807879"/>
    <w:rsid w:val="00811075"/>
    <w:rsid w:val="00811DFA"/>
    <w:rsid w:val="008121BA"/>
    <w:rsid w:val="008130B0"/>
    <w:rsid w:val="0081340A"/>
    <w:rsid w:val="008158EE"/>
    <w:rsid w:val="00815A86"/>
    <w:rsid w:val="008166FD"/>
    <w:rsid w:val="008178E5"/>
    <w:rsid w:val="00820135"/>
    <w:rsid w:val="00820F7C"/>
    <w:rsid w:val="0082141D"/>
    <w:rsid w:val="00822DC7"/>
    <w:rsid w:val="00823EE5"/>
    <w:rsid w:val="00824790"/>
    <w:rsid w:val="00824D75"/>
    <w:rsid w:val="00825D7B"/>
    <w:rsid w:val="008275AA"/>
    <w:rsid w:val="008318BD"/>
    <w:rsid w:val="00834700"/>
    <w:rsid w:val="008352C6"/>
    <w:rsid w:val="0083598E"/>
    <w:rsid w:val="00835A9F"/>
    <w:rsid w:val="00836174"/>
    <w:rsid w:val="008418C0"/>
    <w:rsid w:val="00841D00"/>
    <w:rsid w:val="00841D1E"/>
    <w:rsid w:val="00842A8E"/>
    <w:rsid w:val="00844E49"/>
    <w:rsid w:val="0084687C"/>
    <w:rsid w:val="00847969"/>
    <w:rsid w:val="00851AF9"/>
    <w:rsid w:val="008524B0"/>
    <w:rsid w:val="00853477"/>
    <w:rsid w:val="00853D38"/>
    <w:rsid w:val="0085510D"/>
    <w:rsid w:val="00855B37"/>
    <w:rsid w:val="00856423"/>
    <w:rsid w:val="008564C8"/>
    <w:rsid w:val="00856802"/>
    <w:rsid w:val="00857139"/>
    <w:rsid w:val="00857208"/>
    <w:rsid w:val="00857BF9"/>
    <w:rsid w:val="00862D6A"/>
    <w:rsid w:val="008630ED"/>
    <w:rsid w:val="00864082"/>
    <w:rsid w:val="00864A6E"/>
    <w:rsid w:val="00866052"/>
    <w:rsid w:val="008669B4"/>
    <w:rsid w:val="0086715B"/>
    <w:rsid w:val="00870AA5"/>
    <w:rsid w:val="0087267D"/>
    <w:rsid w:val="00872EC6"/>
    <w:rsid w:val="008738EF"/>
    <w:rsid w:val="00873DF4"/>
    <w:rsid w:val="00873FF3"/>
    <w:rsid w:val="00874015"/>
    <w:rsid w:val="0087406B"/>
    <w:rsid w:val="00875DB3"/>
    <w:rsid w:val="00877B0F"/>
    <w:rsid w:val="00882BFF"/>
    <w:rsid w:val="00884289"/>
    <w:rsid w:val="0088468D"/>
    <w:rsid w:val="0088485D"/>
    <w:rsid w:val="00885260"/>
    <w:rsid w:val="00885846"/>
    <w:rsid w:val="008875E7"/>
    <w:rsid w:val="00890052"/>
    <w:rsid w:val="00890489"/>
    <w:rsid w:val="008908FE"/>
    <w:rsid w:val="0089281D"/>
    <w:rsid w:val="00894FBE"/>
    <w:rsid w:val="00895D30"/>
    <w:rsid w:val="00896DD5"/>
    <w:rsid w:val="008A0331"/>
    <w:rsid w:val="008A428D"/>
    <w:rsid w:val="008A4324"/>
    <w:rsid w:val="008A73C2"/>
    <w:rsid w:val="008B08BE"/>
    <w:rsid w:val="008B13AC"/>
    <w:rsid w:val="008B1CDC"/>
    <w:rsid w:val="008B2EB7"/>
    <w:rsid w:val="008B3A8B"/>
    <w:rsid w:val="008B4567"/>
    <w:rsid w:val="008B4667"/>
    <w:rsid w:val="008B6F96"/>
    <w:rsid w:val="008C03C5"/>
    <w:rsid w:val="008C160C"/>
    <w:rsid w:val="008C1CAD"/>
    <w:rsid w:val="008C2638"/>
    <w:rsid w:val="008C297A"/>
    <w:rsid w:val="008C30F9"/>
    <w:rsid w:val="008C4830"/>
    <w:rsid w:val="008C5BDA"/>
    <w:rsid w:val="008D0D9A"/>
    <w:rsid w:val="008D0DCF"/>
    <w:rsid w:val="008D32B1"/>
    <w:rsid w:val="008D42A7"/>
    <w:rsid w:val="008D5B6D"/>
    <w:rsid w:val="008D671C"/>
    <w:rsid w:val="008D6C6B"/>
    <w:rsid w:val="008D6CE7"/>
    <w:rsid w:val="008E0F26"/>
    <w:rsid w:val="008E2379"/>
    <w:rsid w:val="008E2C14"/>
    <w:rsid w:val="008E2CB3"/>
    <w:rsid w:val="008E2E88"/>
    <w:rsid w:val="008E407E"/>
    <w:rsid w:val="008E45E4"/>
    <w:rsid w:val="008E4DAB"/>
    <w:rsid w:val="008E4F54"/>
    <w:rsid w:val="008E515E"/>
    <w:rsid w:val="008E5560"/>
    <w:rsid w:val="008E5908"/>
    <w:rsid w:val="008E70FA"/>
    <w:rsid w:val="008E7544"/>
    <w:rsid w:val="008F095F"/>
    <w:rsid w:val="008F4917"/>
    <w:rsid w:val="008F4B9A"/>
    <w:rsid w:val="008F562C"/>
    <w:rsid w:val="008F6491"/>
    <w:rsid w:val="008F7764"/>
    <w:rsid w:val="00904F85"/>
    <w:rsid w:val="00905414"/>
    <w:rsid w:val="00906A46"/>
    <w:rsid w:val="009132A4"/>
    <w:rsid w:val="00913434"/>
    <w:rsid w:val="00913E10"/>
    <w:rsid w:val="00914054"/>
    <w:rsid w:val="00915DFB"/>
    <w:rsid w:val="00916369"/>
    <w:rsid w:val="00920D76"/>
    <w:rsid w:val="00922B02"/>
    <w:rsid w:val="00923052"/>
    <w:rsid w:val="0092312B"/>
    <w:rsid w:val="00925837"/>
    <w:rsid w:val="00926738"/>
    <w:rsid w:val="00926967"/>
    <w:rsid w:val="0092727B"/>
    <w:rsid w:val="009309A2"/>
    <w:rsid w:val="00930C0B"/>
    <w:rsid w:val="00932F5E"/>
    <w:rsid w:val="0093397D"/>
    <w:rsid w:val="0093492B"/>
    <w:rsid w:val="00934C88"/>
    <w:rsid w:val="0093504A"/>
    <w:rsid w:val="009404BD"/>
    <w:rsid w:val="00940B9E"/>
    <w:rsid w:val="00941FD1"/>
    <w:rsid w:val="0094448A"/>
    <w:rsid w:val="00944A40"/>
    <w:rsid w:val="00945494"/>
    <w:rsid w:val="00946998"/>
    <w:rsid w:val="00946AA8"/>
    <w:rsid w:val="00947690"/>
    <w:rsid w:val="009500F9"/>
    <w:rsid w:val="00950B9A"/>
    <w:rsid w:val="009519C9"/>
    <w:rsid w:val="009519F9"/>
    <w:rsid w:val="009522D0"/>
    <w:rsid w:val="00952C5B"/>
    <w:rsid w:val="00952D1E"/>
    <w:rsid w:val="00953A73"/>
    <w:rsid w:val="00953DFE"/>
    <w:rsid w:val="00954630"/>
    <w:rsid w:val="009546D8"/>
    <w:rsid w:val="00955115"/>
    <w:rsid w:val="00955384"/>
    <w:rsid w:val="009567EF"/>
    <w:rsid w:val="00957C6B"/>
    <w:rsid w:val="00961202"/>
    <w:rsid w:val="00962D7A"/>
    <w:rsid w:val="00962FB5"/>
    <w:rsid w:val="009639DE"/>
    <w:rsid w:val="00964538"/>
    <w:rsid w:val="0096592B"/>
    <w:rsid w:val="00966BF2"/>
    <w:rsid w:val="00967C5F"/>
    <w:rsid w:val="009715D6"/>
    <w:rsid w:val="00974CB9"/>
    <w:rsid w:val="0097709F"/>
    <w:rsid w:val="00977798"/>
    <w:rsid w:val="009801C4"/>
    <w:rsid w:val="00981016"/>
    <w:rsid w:val="009829F4"/>
    <w:rsid w:val="00982A2E"/>
    <w:rsid w:val="00982DCE"/>
    <w:rsid w:val="009841C9"/>
    <w:rsid w:val="0098443A"/>
    <w:rsid w:val="00985115"/>
    <w:rsid w:val="0098519F"/>
    <w:rsid w:val="0098523E"/>
    <w:rsid w:val="00985D59"/>
    <w:rsid w:val="00985D86"/>
    <w:rsid w:val="0098632D"/>
    <w:rsid w:val="009863D8"/>
    <w:rsid w:val="00986B16"/>
    <w:rsid w:val="00986CBD"/>
    <w:rsid w:val="009870DD"/>
    <w:rsid w:val="00990AF0"/>
    <w:rsid w:val="009942A3"/>
    <w:rsid w:val="0099498D"/>
    <w:rsid w:val="00994EBB"/>
    <w:rsid w:val="00996640"/>
    <w:rsid w:val="00997F88"/>
    <w:rsid w:val="00997FF6"/>
    <w:rsid w:val="009A5998"/>
    <w:rsid w:val="009A6111"/>
    <w:rsid w:val="009A6369"/>
    <w:rsid w:val="009A6E6C"/>
    <w:rsid w:val="009A7647"/>
    <w:rsid w:val="009B0C9A"/>
    <w:rsid w:val="009B0EF1"/>
    <w:rsid w:val="009B1563"/>
    <w:rsid w:val="009B2D4F"/>
    <w:rsid w:val="009B5539"/>
    <w:rsid w:val="009B649B"/>
    <w:rsid w:val="009B6A04"/>
    <w:rsid w:val="009B6E91"/>
    <w:rsid w:val="009B749E"/>
    <w:rsid w:val="009C0ABB"/>
    <w:rsid w:val="009C10AA"/>
    <w:rsid w:val="009C1E9F"/>
    <w:rsid w:val="009C26EA"/>
    <w:rsid w:val="009C32FE"/>
    <w:rsid w:val="009C5256"/>
    <w:rsid w:val="009C685F"/>
    <w:rsid w:val="009C69CC"/>
    <w:rsid w:val="009D120C"/>
    <w:rsid w:val="009D1B08"/>
    <w:rsid w:val="009D2330"/>
    <w:rsid w:val="009D2D56"/>
    <w:rsid w:val="009D2DFB"/>
    <w:rsid w:val="009D441E"/>
    <w:rsid w:val="009D4801"/>
    <w:rsid w:val="009D4FB3"/>
    <w:rsid w:val="009D5487"/>
    <w:rsid w:val="009D6055"/>
    <w:rsid w:val="009D6C95"/>
    <w:rsid w:val="009D7344"/>
    <w:rsid w:val="009E0A5C"/>
    <w:rsid w:val="009E2096"/>
    <w:rsid w:val="009E3F05"/>
    <w:rsid w:val="009E5E88"/>
    <w:rsid w:val="009E7C4B"/>
    <w:rsid w:val="009F2C31"/>
    <w:rsid w:val="009F3ED9"/>
    <w:rsid w:val="009F62B5"/>
    <w:rsid w:val="009F6D91"/>
    <w:rsid w:val="009F76C8"/>
    <w:rsid w:val="009F794B"/>
    <w:rsid w:val="00A02977"/>
    <w:rsid w:val="00A0382B"/>
    <w:rsid w:val="00A03C22"/>
    <w:rsid w:val="00A043B9"/>
    <w:rsid w:val="00A04BA5"/>
    <w:rsid w:val="00A06511"/>
    <w:rsid w:val="00A10ABA"/>
    <w:rsid w:val="00A11D0B"/>
    <w:rsid w:val="00A13E77"/>
    <w:rsid w:val="00A153EE"/>
    <w:rsid w:val="00A1595A"/>
    <w:rsid w:val="00A16CB7"/>
    <w:rsid w:val="00A175C3"/>
    <w:rsid w:val="00A21190"/>
    <w:rsid w:val="00A21272"/>
    <w:rsid w:val="00A22C43"/>
    <w:rsid w:val="00A22F01"/>
    <w:rsid w:val="00A25502"/>
    <w:rsid w:val="00A2686C"/>
    <w:rsid w:val="00A30A4B"/>
    <w:rsid w:val="00A31033"/>
    <w:rsid w:val="00A329D4"/>
    <w:rsid w:val="00A34BE7"/>
    <w:rsid w:val="00A3509C"/>
    <w:rsid w:val="00A355F5"/>
    <w:rsid w:val="00A41202"/>
    <w:rsid w:val="00A41E1A"/>
    <w:rsid w:val="00A42D05"/>
    <w:rsid w:val="00A433AE"/>
    <w:rsid w:val="00A4353A"/>
    <w:rsid w:val="00A438E6"/>
    <w:rsid w:val="00A4529D"/>
    <w:rsid w:val="00A46CF3"/>
    <w:rsid w:val="00A509F3"/>
    <w:rsid w:val="00A52EAE"/>
    <w:rsid w:val="00A5341A"/>
    <w:rsid w:val="00A5385E"/>
    <w:rsid w:val="00A53C8F"/>
    <w:rsid w:val="00A5477A"/>
    <w:rsid w:val="00A56069"/>
    <w:rsid w:val="00A56304"/>
    <w:rsid w:val="00A565B2"/>
    <w:rsid w:val="00A5775C"/>
    <w:rsid w:val="00A578A2"/>
    <w:rsid w:val="00A60A34"/>
    <w:rsid w:val="00A615B2"/>
    <w:rsid w:val="00A62CD9"/>
    <w:rsid w:val="00A645F8"/>
    <w:rsid w:val="00A665E2"/>
    <w:rsid w:val="00A6689D"/>
    <w:rsid w:val="00A710BB"/>
    <w:rsid w:val="00A713EE"/>
    <w:rsid w:val="00A71550"/>
    <w:rsid w:val="00A71B11"/>
    <w:rsid w:val="00A7537D"/>
    <w:rsid w:val="00A7603F"/>
    <w:rsid w:val="00A77B76"/>
    <w:rsid w:val="00A8023C"/>
    <w:rsid w:val="00A8083C"/>
    <w:rsid w:val="00A8096D"/>
    <w:rsid w:val="00A81FA6"/>
    <w:rsid w:val="00A82049"/>
    <w:rsid w:val="00A8323A"/>
    <w:rsid w:val="00A8359B"/>
    <w:rsid w:val="00A836BE"/>
    <w:rsid w:val="00A8375D"/>
    <w:rsid w:val="00A843AB"/>
    <w:rsid w:val="00A84857"/>
    <w:rsid w:val="00A8524A"/>
    <w:rsid w:val="00A86DB4"/>
    <w:rsid w:val="00A92D55"/>
    <w:rsid w:val="00A94F83"/>
    <w:rsid w:val="00A96593"/>
    <w:rsid w:val="00AA0FF9"/>
    <w:rsid w:val="00AA39C8"/>
    <w:rsid w:val="00AA69B2"/>
    <w:rsid w:val="00AA6D73"/>
    <w:rsid w:val="00AA6DFC"/>
    <w:rsid w:val="00AA74CD"/>
    <w:rsid w:val="00AB056C"/>
    <w:rsid w:val="00AB1FE3"/>
    <w:rsid w:val="00AB30E2"/>
    <w:rsid w:val="00AB42CA"/>
    <w:rsid w:val="00AC0FAF"/>
    <w:rsid w:val="00AC10D4"/>
    <w:rsid w:val="00AC12CE"/>
    <w:rsid w:val="00AC3961"/>
    <w:rsid w:val="00AC4012"/>
    <w:rsid w:val="00AC4506"/>
    <w:rsid w:val="00AC468B"/>
    <w:rsid w:val="00AD043D"/>
    <w:rsid w:val="00AD13A1"/>
    <w:rsid w:val="00AD275D"/>
    <w:rsid w:val="00AD2A14"/>
    <w:rsid w:val="00AD3F8C"/>
    <w:rsid w:val="00AD6740"/>
    <w:rsid w:val="00AD6CF6"/>
    <w:rsid w:val="00AE1313"/>
    <w:rsid w:val="00AE62E9"/>
    <w:rsid w:val="00AE6778"/>
    <w:rsid w:val="00AE7001"/>
    <w:rsid w:val="00AF1E30"/>
    <w:rsid w:val="00AF1F49"/>
    <w:rsid w:val="00AF2ED8"/>
    <w:rsid w:val="00AF2F0F"/>
    <w:rsid w:val="00AF3401"/>
    <w:rsid w:val="00AF62B3"/>
    <w:rsid w:val="00AF6334"/>
    <w:rsid w:val="00AF71D7"/>
    <w:rsid w:val="00AF7978"/>
    <w:rsid w:val="00AF7CCC"/>
    <w:rsid w:val="00B01C5A"/>
    <w:rsid w:val="00B06AD1"/>
    <w:rsid w:val="00B06F75"/>
    <w:rsid w:val="00B10256"/>
    <w:rsid w:val="00B10B6C"/>
    <w:rsid w:val="00B12816"/>
    <w:rsid w:val="00B12C34"/>
    <w:rsid w:val="00B130CC"/>
    <w:rsid w:val="00B14322"/>
    <w:rsid w:val="00B15241"/>
    <w:rsid w:val="00B152DC"/>
    <w:rsid w:val="00B162F4"/>
    <w:rsid w:val="00B17B99"/>
    <w:rsid w:val="00B20753"/>
    <w:rsid w:val="00B22092"/>
    <w:rsid w:val="00B2341E"/>
    <w:rsid w:val="00B23B4B"/>
    <w:rsid w:val="00B24E4D"/>
    <w:rsid w:val="00B2571F"/>
    <w:rsid w:val="00B257E9"/>
    <w:rsid w:val="00B26575"/>
    <w:rsid w:val="00B26C80"/>
    <w:rsid w:val="00B26CAF"/>
    <w:rsid w:val="00B30FF5"/>
    <w:rsid w:val="00B3206E"/>
    <w:rsid w:val="00B33874"/>
    <w:rsid w:val="00B34B62"/>
    <w:rsid w:val="00B34C33"/>
    <w:rsid w:val="00B35B82"/>
    <w:rsid w:val="00B3638A"/>
    <w:rsid w:val="00B36931"/>
    <w:rsid w:val="00B36C5E"/>
    <w:rsid w:val="00B4127A"/>
    <w:rsid w:val="00B4182E"/>
    <w:rsid w:val="00B418B7"/>
    <w:rsid w:val="00B42811"/>
    <w:rsid w:val="00B45480"/>
    <w:rsid w:val="00B47BE8"/>
    <w:rsid w:val="00B508C5"/>
    <w:rsid w:val="00B51357"/>
    <w:rsid w:val="00B51C2A"/>
    <w:rsid w:val="00B526E7"/>
    <w:rsid w:val="00B52AC1"/>
    <w:rsid w:val="00B5413A"/>
    <w:rsid w:val="00B54590"/>
    <w:rsid w:val="00B5508D"/>
    <w:rsid w:val="00B550E8"/>
    <w:rsid w:val="00B5686A"/>
    <w:rsid w:val="00B614E1"/>
    <w:rsid w:val="00B61A54"/>
    <w:rsid w:val="00B624A8"/>
    <w:rsid w:val="00B62972"/>
    <w:rsid w:val="00B63BC3"/>
    <w:rsid w:val="00B63E50"/>
    <w:rsid w:val="00B65436"/>
    <w:rsid w:val="00B65CD2"/>
    <w:rsid w:val="00B65F1C"/>
    <w:rsid w:val="00B663F1"/>
    <w:rsid w:val="00B6646C"/>
    <w:rsid w:val="00B66979"/>
    <w:rsid w:val="00B66FB0"/>
    <w:rsid w:val="00B714FD"/>
    <w:rsid w:val="00B718D5"/>
    <w:rsid w:val="00B71E67"/>
    <w:rsid w:val="00B746F7"/>
    <w:rsid w:val="00B809EE"/>
    <w:rsid w:val="00B8195A"/>
    <w:rsid w:val="00B8220F"/>
    <w:rsid w:val="00B82441"/>
    <w:rsid w:val="00B8296B"/>
    <w:rsid w:val="00B83AE8"/>
    <w:rsid w:val="00B84D95"/>
    <w:rsid w:val="00B85E54"/>
    <w:rsid w:val="00B90192"/>
    <w:rsid w:val="00B912C1"/>
    <w:rsid w:val="00B91EB7"/>
    <w:rsid w:val="00B9380C"/>
    <w:rsid w:val="00B93957"/>
    <w:rsid w:val="00B958FF"/>
    <w:rsid w:val="00B9616C"/>
    <w:rsid w:val="00BA01FE"/>
    <w:rsid w:val="00BA1CB8"/>
    <w:rsid w:val="00BA2814"/>
    <w:rsid w:val="00BA4982"/>
    <w:rsid w:val="00BA65FE"/>
    <w:rsid w:val="00BA6CD5"/>
    <w:rsid w:val="00BA7A30"/>
    <w:rsid w:val="00BB16B7"/>
    <w:rsid w:val="00BB18D5"/>
    <w:rsid w:val="00BB35B1"/>
    <w:rsid w:val="00BB50D7"/>
    <w:rsid w:val="00BB7902"/>
    <w:rsid w:val="00BC172B"/>
    <w:rsid w:val="00BC2A75"/>
    <w:rsid w:val="00BC2FE6"/>
    <w:rsid w:val="00BC3C03"/>
    <w:rsid w:val="00BC4778"/>
    <w:rsid w:val="00BC78ED"/>
    <w:rsid w:val="00BD0BAF"/>
    <w:rsid w:val="00BD1451"/>
    <w:rsid w:val="00BD1BE2"/>
    <w:rsid w:val="00BD5303"/>
    <w:rsid w:val="00BD56C8"/>
    <w:rsid w:val="00BD72AA"/>
    <w:rsid w:val="00BE15E0"/>
    <w:rsid w:val="00BE161A"/>
    <w:rsid w:val="00BE25CD"/>
    <w:rsid w:val="00BE29E6"/>
    <w:rsid w:val="00BE2A13"/>
    <w:rsid w:val="00BE2D1D"/>
    <w:rsid w:val="00BE2F1F"/>
    <w:rsid w:val="00BE4084"/>
    <w:rsid w:val="00BE462F"/>
    <w:rsid w:val="00BE519D"/>
    <w:rsid w:val="00BE51F8"/>
    <w:rsid w:val="00BE5803"/>
    <w:rsid w:val="00BE5E6C"/>
    <w:rsid w:val="00BE6806"/>
    <w:rsid w:val="00BE682A"/>
    <w:rsid w:val="00BE6C70"/>
    <w:rsid w:val="00BF0980"/>
    <w:rsid w:val="00BF2629"/>
    <w:rsid w:val="00BF405D"/>
    <w:rsid w:val="00BF7435"/>
    <w:rsid w:val="00BF7BDC"/>
    <w:rsid w:val="00BF7EE0"/>
    <w:rsid w:val="00C0094E"/>
    <w:rsid w:val="00C0095F"/>
    <w:rsid w:val="00C00A15"/>
    <w:rsid w:val="00C01242"/>
    <w:rsid w:val="00C01593"/>
    <w:rsid w:val="00C01A59"/>
    <w:rsid w:val="00C021B2"/>
    <w:rsid w:val="00C022F1"/>
    <w:rsid w:val="00C03076"/>
    <w:rsid w:val="00C042A0"/>
    <w:rsid w:val="00C046D5"/>
    <w:rsid w:val="00C04E90"/>
    <w:rsid w:val="00C061F8"/>
    <w:rsid w:val="00C07F07"/>
    <w:rsid w:val="00C103E7"/>
    <w:rsid w:val="00C11C4D"/>
    <w:rsid w:val="00C13002"/>
    <w:rsid w:val="00C147E4"/>
    <w:rsid w:val="00C14F70"/>
    <w:rsid w:val="00C1545C"/>
    <w:rsid w:val="00C20054"/>
    <w:rsid w:val="00C21F01"/>
    <w:rsid w:val="00C222DA"/>
    <w:rsid w:val="00C2403C"/>
    <w:rsid w:val="00C25663"/>
    <w:rsid w:val="00C258EF"/>
    <w:rsid w:val="00C315DF"/>
    <w:rsid w:val="00C318F6"/>
    <w:rsid w:val="00C31CAF"/>
    <w:rsid w:val="00C324AF"/>
    <w:rsid w:val="00C32EBC"/>
    <w:rsid w:val="00C346BD"/>
    <w:rsid w:val="00C35936"/>
    <w:rsid w:val="00C36175"/>
    <w:rsid w:val="00C374AB"/>
    <w:rsid w:val="00C40784"/>
    <w:rsid w:val="00C427F4"/>
    <w:rsid w:val="00C42EFE"/>
    <w:rsid w:val="00C445B1"/>
    <w:rsid w:val="00C456FD"/>
    <w:rsid w:val="00C470B6"/>
    <w:rsid w:val="00C473F0"/>
    <w:rsid w:val="00C5140B"/>
    <w:rsid w:val="00C52488"/>
    <w:rsid w:val="00C535AB"/>
    <w:rsid w:val="00C5381B"/>
    <w:rsid w:val="00C54C8E"/>
    <w:rsid w:val="00C5614A"/>
    <w:rsid w:val="00C63853"/>
    <w:rsid w:val="00C6413C"/>
    <w:rsid w:val="00C64AD5"/>
    <w:rsid w:val="00C65F47"/>
    <w:rsid w:val="00C66505"/>
    <w:rsid w:val="00C669BA"/>
    <w:rsid w:val="00C66A64"/>
    <w:rsid w:val="00C67CB5"/>
    <w:rsid w:val="00C71BF0"/>
    <w:rsid w:val="00C7319F"/>
    <w:rsid w:val="00C750D9"/>
    <w:rsid w:val="00C75453"/>
    <w:rsid w:val="00C75A80"/>
    <w:rsid w:val="00C76C65"/>
    <w:rsid w:val="00C80BA8"/>
    <w:rsid w:val="00C85652"/>
    <w:rsid w:val="00C86978"/>
    <w:rsid w:val="00C8747B"/>
    <w:rsid w:val="00C8791D"/>
    <w:rsid w:val="00C9035E"/>
    <w:rsid w:val="00C903E3"/>
    <w:rsid w:val="00C90B32"/>
    <w:rsid w:val="00C90C45"/>
    <w:rsid w:val="00C91020"/>
    <w:rsid w:val="00C94C96"/>
    <w:rsid w:val="00CA111D"/>
    <w:rsid w:val="00CA12A0"/>
    <w:rsid w:val="00CA1880"/>
    <w:rsid w:val="00CA1A4F"/>
    <w:rsid w:val="00CA2E88"/>
    <w:rsid w:val="00CA4307"/>
    <w:rsid w:val="00CA5761"/>
    <w:rsid w:val="00CA63BE"/>
    <w:rsid w:val="00CB123C"/>
    <w:rsid w:val="00CB21DF"/>
    <w:rsid w:val="00CB5009"/>
    <w:rsid w:val="00CB77C5"/>
    <w:rsid w:val="00CC1059"/>
    <w:rsid w:val="00CC125A"/>
    <w:rsid w:val="00CC149D"/>
    <w:rsid w:val="00CC18FE"/>
    <w:rsid w:val="00CC1F42"/>
    <w:rsid w:val="00CC5314"/>
    <w:rsid w:val="00CD0B07"/>
    <w:rsid w:val="00CD19B2"/>
    <w:rsid w:val="00CD2330"/>
    <w:rsid w:val="00CD2741"/>
    <w:rsid w:val="00CD30D3"/>
    <w:rsid w:val="00CD43B9"/>
    <w:rsid w:val="00CD7428"/>
    <w:rsid w:val="00CD76A8"/>
    <w:rsid w:val="00CE0375"/>
    <w:rsid w:val="00CE16BC"/>
    <w:rsid w:val="00CE1E2D"/>
    <w:rsid w:val="00CE2493"/>
    <w:rsid w:val="00CE2ABF"/>
    <w:rsid w:val="00CE448B"/>
    <w:rsid w:val="00CE551F"/>
    <w:rsid w:val="00CE5566"/>
    <w:rsid w:val="00CE5A4E"/>
    <w:rsid w:val="00CE6A86"/>
    <w:rsid w:val="00CE75A5"/>
    <w:rsid w:val="00CF054F"/>
    <w:rsid w:val="00CF3090"/>
    <w:rsid w:val="00CF33B5"/>
    <w:rsid w:val="00CF4A60"/>
    <w:rsid w:val="00CF521F"/>
    <w:rsid w:val="00CF5608"/>
    <w:rsid w:val="00CF5AF7"/>
    <w:rsid w:val="00D0088D"/>
    <w:rsid w:val="00D00FBC"/>
    <w:rsid w:val="00D01850"/>
    <w:rsid w:val="00D0317F"/>
    <w:rsid w:val="00D038A0"/>
    <w:rsid w:val="00D03ED5"/>
    <w:rsid w:val="00D041C2"/>
    <w:rsid w:val="00D05001"/>
    <w:rsid w:val="00D0683A"/>
    <w:rsid w:val="00D07591"/>
    <w:rsid w:val="00D07782"/>
    <w:rsid w:val="00D13E3D"/>
    <w:rsid w:val="00D14B33"/>
    <w:rsid w:val="00D14C42"/>
    <w:rsid w:val="00D17A9F"/>
    <w:rsid w:val="00D20544"/>
    <w:rsid w:val="00D21173"/>
    <w:rsid w:val="00D21830"/>
    <w:rsid w:val="00D21F2C"/>
    <w:rsid w:val="00D23827"/>
    <w:rsid w:val="00D23ED7"/>
    <w:rsid w:val="00D2550B"/>
    <w:rsid w:val="00D27853"/>
    <w:rsid w:val="00D305DC"/>
    <w:rsid w:val="00D31E84"/>
    <w:rsid w:val="00D320BF"/>
    <w:rsid w:val="00D33DC0"/>
    <w:rsid w:val="00D36273"/>
    <w:rsid w:val="00D36BBF"/>
    <w:rsid w:val="00D36E2B"/>
    <w:rsid w:val="00D409FA"/>
    <w:rsid w:val="00D4128A"/>
    <w:rsid w:val="00D417FC"/>
    <w:rsid w:val="00D4225A"/>
    <w:rsid w:val="00D42B4B"/>
    <w:rsid w:val="00D44598"/>
    <w:rsid w:val="00D45922"/>
    <w:rsid w:val="00D4680D"/>
    <w:rsid w:val="00D47021"/>
    <w:rsid w:val="00D47508"/>
    <w:rsid w:val="00D47CA3"/>
    <w:rsid w:val="00D500B4"/>
    <w:rsid w:val="00D50F44"/>
    <w:rsid w:val="00D519A3"/>
    <w:rsid w:val="00D5285B"/>
    <w:rsid w:val="00D53640"/>
    <w:rsid w:val="00D53BD1"/>
    <w:rsid w:val="00D54480"/>
    <w:rsid w:val="00D55000"/>
    <w:rsid w:val="00D559BE"/>
    <w:rsid w:val="00D56021"/>
    <w:rsid w:val="00D57521"/>
    <w:rsid w:val="00D6131A"/>
    <w:rsid w:val="00D61442"/>
    <w:rsid w:val="00D618BB"/>
    <w:rsid w:val="00D62D2B"/>
    <w:rsid w:val="00D65741"/>
    <w:rsid w:val="00D65E3A"/>
    <w:rsid w:val="00D66FC1"/>
    <w:rsid w:val="00D74C26"/>
    <w:rsid w:val="00D75F06"/>
    <w:rsid w:val="00D7693C"/>
    <w:rsid w:val="00D8085E"/>
    <w:rsid w:val="00D80A06"/>
    <w:rsid w:val="00D82313"/>
    <w:rsid w:val="00D90D50"/>
    <w:rsid w:val="00D93093"/>
    <w:rsid w:val="00D94D77"/>
    <w:rsid w:val="00D970EB"/>
    <w:rsid w:val="00DA115F"/>
    <w:rsid w:val="00DA5926"/>
    <w:rsid w:val="00DA7FB2"/>
    <w:rsid w:val="00DB0589"/>
    <w:rsid w:val="00DB0725"/>
    <w:rsid w:val="00DB0B64"/>
    <w:rsid w:val="00DB2A20"/>
    <w:rsid w:val="00DB3499"/>
    <w:rsid w:val="00DC01DF"/>
    <w:rsid w:val="00DC44A2"/>
    <w:rsid w:val="00DC4695"/>
    <w:rsid w:val="00DC78B7"/>
    <w:rsid w:val="00DD0EDE"/>
    <w:rsid w:val="00DD5CFF"/>
    <w:rsid w:val="00DD6682"/>
    <w:rsid w:val="00DD6FAA"/>
    <w:rsid w:val="00DD7246"/>
    <w:rsid w:val="00DD7B31"/>
    <w:rsid w:val="00DD7CC9"/>
    <w:rsid w:val="00DF04A9"/>
    <w:rsid w:val="00DF0E86"/>
    <w:rsid w:val="00DF3649"/>
    <w:rsid w:val="00DF5D00"/>
    <w:rsid w:val="00E003F1"/>
    <w:rsid w:val="00E03D69"/>
    <w:rsid w:val="00E04390"/>
    <w:rsid w:val="00E04768"/>
    <w:rsid w:val="00E04CA8"/>
    <w:rsid w:val="00E04E55"/>
    <w:rsid w:val="00E054DF"/>
    <w:rsid w:val="00E059AA"/>
    <w:rsid w:val="00E05A09"/>
    <w:rsid w:val="00E05D7C"/>
    <w:rsid w:val="00E07746"/>
    <w:rsid w:val="00E100FC"/>
    <w:rsid w:val="00E128AD"/>
    <w:rsid w:val="00E1330C"/>
    <w:rsid w:val="00E170CD"/>
    <w:rsid w:val="00E1741D"/>
    <w:rsid w:val="00E1791C"/>
    <w:rsid w:val="00E2152F"/>
    <w:rsid w:val="00E252E4"/>
    <w:rsid w:val="00E263CE"/>
    <w:rsid w:val="00E3004B"/>
    <w:rsid w:val="00E31CC8"/>
    <w:rsid w:val="00E31D83"/>
    <w:rsid w:val="00E3220D"/>
    <w:rsid w:val="00E36E1A"/>
    <w:rsid w:val="00E408CC"/>
    <w:rsid w:val="00E4102E"/>
    <w:rsid w:val="00E43140"/>
    <w:rsid w:val="00E4493F"/>
    <w:rsid w:val="00E47609"/>
    <w:rsid w:val="00E47B6A"/>
    <w:rsid w:val="00E55D17"/>
    <w:rsid w:val="00E57967"/>
    <w:rsid w:val="00E604BC"/>
    <w:rsid w:val="00E6099B"/>
    <w:rsid w:val="00E60A4E"/>
    <w:rsid w:val="00E6139D"/>
    <w:rsid w:val="00E63A8D"/>
    <w:rsid w:val="00E641B1"/>
    <w:rsid w:val="00E657EC"/>
    <w:rsid w:val="00E66EB6"/>
    <w:rsid w:val="00E67E90"/>
    <w:rsid w:val="00E70782"/>
    <w:rsid w:val="00E71DF1"/>
    <w:rsid w:val="00E72EDA"/>
    <w:rsid w:val="00E735F9"/>
    <w:rsid w:val="00E73F24"/>
    <w:rsid w:val="00E7524E"/>
    <w:rsid w:val="00E759AE"/>
    <w:rsid w:val="00E75D52"/>
    <w:rsid w:val="00E75D5F"/>
    <w:rsid w:val="00E75E23"/>
    <w:rsid w:val="00E76F91"/>
    <w:rsid w:val="00E77DE3"/>
    <w:rsid w:val="00E803D3"/>
    <w:rsid w:val="00E818CA"/>
    <w:rsid w:val="00E82E57"/>
    <w:rsid w:val="00E8486B"/>
    <w:rsid w:val="00E84CF4"/>
    <w:rsid w:val="00E85442"/>
    <w:rsid w:val="00E8585C"/>
    <w:rsid w:val="00E87EA0"/>
    <w:rsid w:val="00E90364"/>
    <w:rsid w:val="00E9080E"/>
    <w:rsid w:val="00E924C4"/>
    <w:rsid w:val="00E93618"/>
    <w:rsid w:val="00E96647"/>
    <w:rsid w:val="00EA01DC"/>
    <w:rsid w:val="00EA081B"/>
    <w:rsid w:val="00EA2CD9"/>
    <w:rsid w:val="00EA6452"/>
    <w:rsid w:val="00EA7F16"/>
    <w:rsid w:val="00EB3103"/>
    <w:rsid w:val="00EB4A52"/>
    <w:rsid w:val="00EB50C9"/>
    <w:rsid w:val="00EB5DCC"/>
    <w:rsid w:val="00EB61BD"/>
    <w:rsid w:val="00EB78DC"/>
    <w:rsid w:val="00EC056A"/>
    <w:rsid w:val="00EC0CEC"/>
    <w:rsid w:val="00EC368C"/>
    <w:rsid w:val="00EC381F"/>
    <w:rsid w:val="00EC3E5C"/>
    <w:rsid w:val="00EC516F"/>
    <w:rsid w:val="00EC5EC9"/>
    <w:rsid w:val="00EC68A7"/>
    <w:rsid w:val="00EC6D51"/>
    <w:rsid w:val="00EC7CB4"/>
    <w:rsid w:val="00ED045A"/>
    <w:rsid w:val="00ED2602"/>
    <w:rsid w:val="00ED2EEA"/>
    <w:rsid w:val="00ED4326"/>
    <w:rsid w:val="00ED4E38"/>
    <w:rsid w:val="00ED5D1A"/>
    <w:rsid w:val="00ED6DEA"/>
    <w:rsid w:val="00ED7CEB"/>
    <w:rsid w:val="00ED7F29"/>
    <w:rsid w:val="00EE4656"/>
    <w:rsid w:val="00EE70C2"/>
    <w:rsid w:val="00EF03A8"/>
    <w:rsid w:val="00EF0C8B"/>
    <w:rsid w:val="00EF1A00"/>
    <w:rsid w:val="00EF1A53"/>
    <w:rsid w:val="00EF1FD8"/>
    <w:rsid w:val="00EF3090"/>
    <w:rsid w:val="00EF3790"/>
    <w:rsid w:val="00EF49E1"/>
    <w:rsid w:val="00EF49FD"/>
    <w:rsid w:val="00EF643A"/>
    <w:rsid w:val="00EF7DCF"/>
    <w:rsid w:val="00F011F3"/>
    <w:rsid w:val="00F0128A"/>
    <w:rsid w:val="00F0199D"/>
    <w:rsid w:val="00F026FD"/>
    <w:rsid w:val="00F07C3C"/>
    <w:rsid w:val="00F10308"/>
    <w:rsid w:val="00F110FE"/>
    <w:rsid w:val="00F11574"/>
    <w:rsid w:val="00F132F1"/>
    <w:rsid w:val="00F14110"/>
    <w:rsid w:val="00F16D41"/>
    <w:rsid w:val="00F223EF"/>
    <w:rsid w:val="00F2390A"/>
    <w:rsid w:val="00F2425D"/>
    <w:rsid w:val="00F24BB1"/>
    <w:rsid w:val="00F2575B"/>
    <w:rsid w:val="00F3027C"/>
    <w:rsid w:val="00F302B1"/>
    <w:rsid w:val="00F32F2F"/>
    <w:rsid w:val="00F33264"/>
    <w:rsid w:val="00F34C68"/>
    <w:rsid w:val="00F34C7A"/>
    <w:rsid w:val="00F35CA1"/>
    <w:rsid w:val="00F36445"/>
    <w:rsid w:val="00F36719"/>
    <w:rsid w:val="00F373CE"/>
    <w:rsid w:val="00F4236B"/>
    <w:rsid w:val="00F42826"/>
    <w:rsid w:val="00F44F67"/>
    <w:rsid w:val="00F44FCC"/>
    <w:rsid w:val="00F46ADC"/>
    <w:rsid w:val="00F46B92"/>
    <w:rsid w:val="00F508DC"/>
    <w:rsid w:val="00F51365"/>
    <w:rsid w:val="00F54A4B"/>
    <w:rsid w:val="00F56735"/>
    <w:rsid w:val="00F5724F"/>
    <w:rsid w:val="00F57DA1"/>
    <w:rsid w:val="00F57FAE"/>
    <w:rsid w:val="00F60A89"/>
    <w:rsid w:val="00F60B93"/>
    <w:rsid w:val="00F6220C"/>
    <w:rsid w:val="00F66980"/>
    <w:rsid w:val="00F6757F"/>
    <w:rsid w:val="00F70498"/>
    <w:rsid w:val="00F71ACB"/>
    <w:rsid w:val="00F72A3F"/>
    <w:rsid w:val="00F736C3"/>
    <w:rsid w:val="00F745B9"/>
    <w:rsid w:val="00F74963"/>
    <w:rsid w:val="00F80C08"/>
    <w:rsid w:val="00F81592"/>
    <w:rsid w:val="00F83CD1"/>
    <w:rsid w:val="00F84D69"/>
    <w:rsid w:val="00F85639"/>
    <w:rsid w:val="00F86532"/>
    <w:rsid w:val="00F90B5F"/>
    <w:rsid w:val="00F91D67"/>
    <w:rsid w:val="00F92348"/>
    <w:rsid w:val="00F9346F"/>
    <w:rsid w:val="00F940F3"/>
    <w:rsid w:val="00F941C1"/>
    <w:rsid w:val="00F9466C"/>
    <w:rsid w:val="00F94718"/>
    <w:rsid w:val="00F950A7"/>
    <w:rsid w:val="00F9599A"/>
    <w:rsid w:val="00F97DBF"/>
    <w:rsid w:val="00FA34D1"/>
    <w:rsid w:val="00FA4768"/>
    <w:rsid w:val="00FA6335"/>
    <w:rsid w:val="00FA653C"/>
    <w:rsid w:val="00FA7844"/>
    <w:rsid w:val="00FB026E"/>
    <w:rsid w:val="00FB1399"/>
    <w:rsid w:val="00FB1C84"/>
    <w:rsid w:val="00FB20B1"/>
    <w:rsid w:val="00FB62BA"/>
    <w:rsid w:val="00FC29E9"/>
    <w:rsid w:val="00FC3066"/>
    <w:rsid w:val="00FC445D"/>
    <w:rsid w:val="00FC483C"/>
    <w:rsid w:val="00FC48B2"/>
    <w:rsid w:val="00FC4B29"/>
    <w:rsid w:val="00FC4DEC"/>
    <w:rsid w:val="00FC51AD"/>
    <w:rsid w:val="00FC5AED"/>
    <w:rsid w:val="00FC6B8A"/>
    <w:rsid w:val="00FD2171"/>
    <w:rsid w:val="00FD4F03"/>
    <w:rsid w:val="00FD51F2"/>
    <w:rsid w:val="00FD562A"/>
    <w:rsid w:val="00FD6181"/>
    <w:rsid w:val="00FD67A7"/>
    <w:rsid w:val="00FD68EE"/>
    <w:rsid w:val="00FD7164"/>
    <w:rsid w:val="00FD7183"/>
    <w:rsid w:val="00FD7BC1"/>
    <w:rsid w:val="00FE0E6B"/>
    <w:rsid w:val="00FE101E"/>
    <w:rsid w:val="00FE1490"/>
    <w:rsid w:val="00FE15DB"/>
    <w:rsid w:val="00FE1AD2"/>
    <w:rsid w:val="00FE229E"/>
    <w:rsid w:val="00FE3615"/>
    <w:rsid w:val="00FE47A6"/>
    <w:rsid w:val="00FE726A"/>
    <w:rsid w:val="00FE7835"/>
    <w:rsid w:val="00FE7FD0"/>
    <w:rsid w:val="00FF01C2"/>
    <w:rsid w:val="00FF0BB1"/>
    <w:rsid w:val="00FF1058"/>
    <w:rsid w:val="00FF1646"/>
    <w:rsid w:val="00FF238F"/>
    <w:rsid w:val="00FF24C0"/>
    <w:rsid w:val="00FF253B"/>
    <w:rsid w:val="00FF30B2"/>
    <w:rsid w:val="00FF35A7"/>
    <w:rsid w:val="00FF3A58"/>
    <w:rsid w:val="00FF4B2E"/>
    <w:rsid w:val="00FF4C16"/>
    <w:rsid w:val="00FF7698"/>
    <w:rsid w:val="012A4E2C"/>
    <w:rsid w:val="016732E2"/>
    <w:rsid w:val="025008C3"/>
    <w:rsid w:val="02756CB3"/>
    <w:rsid w:val="02DE889F"/>
    <w:rsid w:val="0335528E"/>
    <w:rsid w:val="03C30C20"/>
    <w:rsid w:val="03DA5762"/>
    <w:rsid w:val="040F14AA"/>
    <w:rsid w:val="048C54B6"/>
    <w:rsid w:val="04D10642"/>
    <w:rsid w:val="056A6750"/>
    <w:rsid w:val="06DF3090"/>
    <w:rsid w:val="06EC4F58"/>
    <w:rsid w:val="07406542"/>
    <w:rsid w:val="07513605"/>
    <w:rsid w:val="07572CD2"/>
    <w:rsid w:val="075F6EB2"/>
    <w:rsid w:val="088A5808"/>
    <w:rsid w:val="08F44EC9"/>
    <w:rsid w:val="095A5B83"/>
    <w:rsid w:val="095E4C79"/>
    <w:rsid w:val="0A0A1357"/>
    <w:rsid w:val="0A1D7A56"/>
    <w:rsid w:val="0AE20526"/>
    <w:rsid w:val="0B7F42FD"/>
    <w:rsid w:val="0B8B28CC"/>
    <w:rsid w:val="0BE82C3D"/>
    <w:rsid w:val="0CDB31C5"/>
    <w:rsid w:val="0D3861DB"/>
    <w:rsid w:val="0EEF6D6E"/>
    <w:rsid w:val="0FD146C5"/>
    <w:rsid w:val="103A226A"/>
    <w:rsid w:val="10BC561E"/>
    <w:rsid w:val="10EA5A3E"/>
    <w:rsid w:val="11AF42F6"/>
    <w:rsid w:val="124245C1"/>
    <w:rsid w:val="125C6E10"/>
    <w:rsid w:val="1277225B"/>
    <w:rsid w:val="1299771C"/>
    <w:rsid w:val="132C233E"/>
    <w:rsid w:val="139C6002"/>
    <w:rsid w:val="14DB04C0"/>
    <w:rsid w:val="14F926F4"/>
    <w:rsid w:val="158A1F8C"/>
    <w:rsid w:val="163112C6"/>
    <w:rsid w:val="16F13FCB"/>
    <w:rsid w:val="16F271C0"/>
    <w:rsid w:val="16FA2753"/>
    <w:rsid w:val="171F21BA"/>
    <w:rsid w:val="17732C32"/>
    <w:rsid w:val="17AEFFB0"/>
    <w:rsid w:val="17D35D21"/>
    <w:rsid w:val="17DD00AB"/>
    <w:rsid w:val="18153469"/>
    <w:rsid w:val="181E22F8"/>
    <w:rsid w:val="18644328"/>
    <w:rsid w:val="188B7B07"/>
    <w:rsid w:val="18A24E51"/>
    <w:rsid w:val="18AC681E"/>
    <w:rsid w:val="18E54327"/>
    <w:rsid w:val="1A8B0292"/>
    <w:rsid w:val="1B0C2CE6"/>
    <w:rsid w:val="1CA078F9"/>
    <w:rsid w:val="1D436C02"/>
    <w:rsid w:val="1D4D6540"/>
    <w:rsid w:val="1F486752"/>
    <w:rsid w:val="1F494278"/>
    <w:rsid w:val="1FE4066F"/>
    <w:rsid w:val="1FF1533F"/>
    <w:rsid w:val="208A4B48"/>
    <w:rsid w:val="2107555A"/>
    <w:rsid w:val="213B051A"/>
    <w:rsid w:val="21547A81"/>
    <w:rsid w:val="21A91F20"/>
    <w:rsid w:val="21D07990"/>
    <w:rsid w:val="21D70261"/>
    <w:rsid w:val="231D1CA3"/>
    <w:rsid w:val="23B96FB7"/>
    <w:rsid w:val="23DC56BB"/>
    <w:rsid w:val="244A1145"/>
    <w:rsid w:val="2539372D"/>
    <w:rsid w:val="257A41E5"/>
    <w:rsid w:val="260C53A3"/>
    <w:rsid w:val="26154EB4"/>
    <w:rsid w:val="261F619B"/>
    <w:rsid w:val="2629095F"/>
    <w:rsid w:val="272B0C89"/>
    <w:rsid w:val="27B64475"/>
    <w:rsid w:val="27E51A2C"/>
    <w:rsid w:val="280D0539"/>
    <w:rsid w:val="28B07116"/>
    <w:rsid w:val="290C4C94"/>
    <w:rsid w:val="2921613B"/>
    <w:rsid w:val="29473C1E"/>
    <w:rsid w:val="29997BDC"/>
    <w:rsid w:val="29E928DF"/>
    <w:rsid w:val="2A677CA8"/>
    <w:rsid w:val="2ABA4E20"/>
    <w:rsid w:val="2B1517CD"/>
    <w:rsid w:val="2CB1597D"/>
    <w:rsid w:val="2CB86F50"/>
    <w:rsid w:val="2D2D51D9"/>
    <w:rsid w:val="2DB76530"/>
    <w:rsid w:val="2E092D17"/>
    <w:rsid w:val="2E4B1DBB"/>
    <w:rsid w:val="2E5E723F"/>
    <w:rsid w:val="2E7D554B"/>
    <w:rsid w:val="2F212B1B"/>
    <w:rsid w:val="30101466"/>
    <w:rsid w:val="30850E88"/>
    <w:rsid w:val="30CB2D3F"/>
    <w:rsid w:val="310710A1"/>
    <w:rsid w:val="32472899"/>
    <w:rsid w:val="3491429F"/>
    <w:rsid w:val="34A508F6"/>
    <w:rsid w:val="35033ACD"/>
    <w:rsid w:val="355E6877"/>
    <w:rsid w:val="3631D3B4"/>
    <w:rsid w:val="368C2C99"/>
    <w:rsid w:val="370C5E5F"/>
    <w:rsid w:val="377834F5"/>
    <w:rsid w:val="377EB71C"/>
    <w:rsid w:val="3790083E"/>
    <w:rsid w:val="386A3366"/>
    <w:rsid w:val="386B671F"/>
    <w:rsid w:val="38A10829"/>
    <w:rsid w:val="38FB618B"/>
    <w:rsid w:val="3AD60C5E"/>
    <w:rsid w:val="3C333E8E"/>
    <w:rsid w:val="3D3B2FFA"/>
    <w:rsid w:val="3DA75A91"/>
    <w:rsid w:val="3E9418D5"/>
    <w:rsid w:val="3E9F4582"/>
    <w:rsid w:val="3EEB4300"/>
    <w:rsid w:val="3F19736B"/>
    <w:rsid w:val="3F75443F"/>
    <w:rsid w:val="3FE34E13"/>
    <w:rsid w:val="40662533"/>
    <w:rsid w:val="41842382"/>
    <w:rsid w:val="421B164C"/>
    <w:rsid w:val="42260C25"/>
    <w:rsid w:val="425B7C9B"/>
    <w:rsid w:val="43374264"/>
    <w:rsid w:val="43D42EC9"/>
    <w:rsid w:val="443B20A2"/>
    <w:rsid w:val="44507CD3"/>
    <w:rsid w:val="449A2CFC"/>
    <w:rsid w:val="44C23243"/>
    <w:rsid w:val="459A24A7"/>
    <w:rsid w:val="4706448D"/>
    <w:rsid w:val="471C5C4A"/>
    <w:rsid w:val="474653BD"/>
    <w:rsid w:val="475950F1"/>
    <w:rsid w:val="477908C9"/>
    <w:rsid w:val="47FF3ECD"/>
    <w:rsid w:val="4854616E"/>
    <w:rsid w:val="48781B74"/>
    <w:rsid w:val="4B525FD7"/>
    <w:rsid w:val="4B9A1834"/>
    <w:rsid w:val="4BAA5374"/>
    <w:rsid w:val="4BAB3A41"/>
    <w:rsid w:val="4BF058F8"/>
    <w:rsid w:val="4D115B26"/>
    <w:rsid w:val="4DB23AA9"/>
    <w:rsid w:val="4E557C94"/>
    <w:rsid w:val="4E870795"/>
    <w:rsid w:val="4EA8264C"/>
    <w:rsid w:val="4F2C2829"/>
    <w:rsid w:val="4F3B557E"/>
    <w:rsid w:val="4F8E345D"/>
    <w:rsid w:val="501F46C7"/>
    <w:rsid w:val="502C2122"/>
    <w:rsid w:val="5155746D"/>
    <w:rsid w:val="518C207D"/>
    <w:rsid w:val="524F7F50"/>
    <w:rsid w:val="52D970E6"/>
    <w:rsid w:val="534F1156"/>
    <w:rsid w:val="53670B95"/>
    <w:rsid w:val="537B63EF"/>
    <w:rsid w:val="554A3CF5"/>
    <w:rsid w:val="55524158"/>
    <w:rsid w:val="556121B4"/>
    <w:rsid w:val="567F7FA4"/>
    <w:rsid w:val="56FF2E93"/>
    <w:rsid w:val="574E13B2"/>
    <w:rsid w:val="57C06FB5"/>
    <w:rsid w:val="57CD9CCA"/>
    <w:rsid w:val="584408E4"/>
    <w:rsid w:val="5903310E"/>
    <w:rsid w:val="59272216"/>
    <w:rsid w:val="59411541"/>
    <w:rsid w:val="5A0507C0"/>
    <w:rsid w:val="5C133134"/>
    <w:rsid w:val="5CE84116"/>
    <w:rsid w:val="5D4F733F"/>
    <w:rsid w:val="5D8E6A70"/>
    <w:rsid w:val="5DD950CE"/>
    <w:rsid w:val="5DF26102"/>
    <w:rsid w:val="5E2572FE"/>
    <w:rsid w:val="5E2C27BF"/>
    <w:rsid w:val="5E341674"/>
    <w:rsid w:val="5ECE010D"/>
    <w:rsid w:val="5EF823D0"/>
    <w:rsid w:val="5F7F7D89"/>
    <w:rsid w:val="617B4ECB"/>
    <w:rsid w:val="622D4644"/>
    <w:rsid w:val="625D388F"/>
    <w:rsid w:val="62FB4E56"/>
    <w:rsid w:val="63540B44"/>
    <w:rsid w:val="637A5D7B"/>
    <w:rsid w:val="63D909CF"/>
    <w:rsid w:val="642A7967"/>
    <w:rsid w:val="642C127C"/>
    <w:rsid w:val="64367104"/>
    <w:rsid w:val="64691418"/>
    <w:rsid w:val="648D0C6B"/>
    <w:rsid w:val="650F7CFD"/>
    <w:rsid w:val="6559334C"/>
    <w:rsid w:val="65603BBB"/>
    <w:rsid w:val="65BD7C2D"/>
    <w:rsid w:val="65F94B59"/>
    <w:rsid w:val="66B34D24"/>
    <w:rsid w:val="677D0530"/>
    <w:rsid w:val="67897DDC"/>
    <w:rsid w:val="67B6134C"/>
    <w:rsid w:val="68106DCC"/>
    <w:rsid w:val="687C4343"/>
    <w:rsid w:val="6B4317BA"/>
    <w:rsid w:val="6BDB75D3"/>
    <w:rsid w:val="6C007039"/>
    <w:rsid w:val="6D607F90"/>
    <w:rsid w:val="6E0659AC"/>
    <w:rsid w:val="6E0F17B6"/>
    <w:rsid w:val="6E2E51EC"/>
    <w:rsid w:val="6ED00F45"/>
    <w:rsid w:val="6F103099"/>
    <w:rsid w:val="6F1572A0"/>
    <w:rsid w:val="6FAB550E"/>
    <w:rsid w:val="700E0800"/>
    <w:rsid w:val="708C17E3"/>
    <w:rsid w:val="70DA60AB"/>
    <w:rsid w:val="70F829D5"/>
    <w:rsid w:val="710B2DFA"/>
    <w:rsid w:val="7113780F"/>
    <w:rsid w:val="71381023"/>
    <w:rsid w:val="713D657F"/>
    <w:rsid w:val="721455EC"/>
    <w:rsid w:val="73005B71"/>
    <w:rsid w:val="733FACE3"/>
    <w:rsid w:val="735C36EF"/>
    <w:rsid w:val="738844E4"/>
    <w:rsid w:val="739E1612"/>
    <w:rsid w:val="739F0CFB"/>
    <w:rsid w:val="73BF15BC"/>
    <w:rsid w:val="74424693"/>
    <w:rsid w:val="74757859"/>
    <w:rsid w:val="748D1EE2"/>
    <w:rsid w:val="75243D99"/>
    <w:rsid w:val="7590235F"/>
    <w:rsid w:val="75F6E58C"/>
    <w:rsid w:val="7682346D"/>
    <w:rsid w:val="76FD0F1A"/>
    <w:rsid w:val="77316C41"/>
    <w:rsid w:val="77B72606"/>
    <w:rsid w:val="78591FAB"/>
    <w:rsid w:val="788A03B6"/>
    <w:rsid w:val="796B5873"/>
    <w:rsid w:val="797B119D"/>
    <w:rsid w:val="79B3674C"/>
    <w:rsid w:val="79D7762B"/>
    <w:rsid w:val="7A23637B"/>
    <w:rsid w:val="7A4E3666"/>
    <w:rsid w:val="7A910122"/>
    <w:rsid w:val="7AC5601E"/>
    <w:rsid w:val="7B7FD3DF"/>
    <w:rsid w:val="7D6C2781"/>
    <w:rsid w:val="7DC66335"/>
    <w:rsid w:val="7DE642E1"/>
    <w:rsid w:val="7E7FDCE8"/>
    <w:rsid w:val="7E9401E1"/>
    <w:rsid w:val="7EBF392D"/>
    <w:rsid w:val="7EFFB779"/>
    <w:rsid w:val="7F294379"/>
    <w:rsid w:val="7F492B03"/>
    <w:rsid w:val="7FA426A6"/>
    <w:rsid w:val="7FC06DB4"/>
    <w:rsid w:val="7FE900B8"/>
    <w:rsid w:val="9D778CFC"/>
    <w:rsid w:val="BD9A3140"/>
    <w:rsid w:val="BFDB761F"/>
    <w:rsid w:val="C639D501"/>
    <w:rsid w:val="DFFD746B"/>
    <w:rsid w:val="ED7D63FD"/>
    <w:rsid w:val="FA6BDA35"/>
    <w:rsid w:val="FB690A90"/>
    <w:rsid w:val="FBA767B7"/>
    <w:rsid w:val="FDFD914C"/>
    <w:rsid w:val="FE575DB3"/>
    <w:rsid w:val="FE747CE3"/>
    <w:rsid w:val="FE7E423B"/>
    <w:rsid w:val="FEB675C2"/>
    <w:rsid w:val="FF6BAD7A"/>
    <w:rsid w:val="FF770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9"/>
    <w:pPr>
      <w:keepNext/>
      <w:keepLines/>
      <w:spacing w:beforeLines="100" w:afterLines="100"/>
      <w:jc w:val="center"/>
      <w:outlineLvl w:val="0"/>
    </w:pPr>
    <w:rPr>
      <w:rFonts w:eastAsia="黑体"/>
      <w:b/>
      <w:bCs/>
      <w:kern w:val="0"/>
      <w:sz w:val="32"/>
      <w:szCs w:val="44"/>
    </w:rPr>
  </w:style>
  <w:style w:type="paragraph" w:styleId="3">
    <w:name w:val="heading 2"/>
    <w:basedOn w:val="1"/>
    <w:next w:val="1"/>
    <w:link w:val="53"/>
    <w:qFormat/>
    <w:uiPriority w:val="9"/>
    <w:pPr>
      <w:keepNext/>
      <w:keepLines/>
      <w:spacing w:beforeLines="100" w:afterLines="100"/>
      <w:jc w:val="center"/>
      <w:outlineLvl w:val="1"/>
    </w:pPr>
    <w:rPr>
      <w:rFonts w:ascii="Arial" w:hAnsi="Arial" w:eastAsia="黑体"/>
      <w:b/>
      <w:bCs/>
      <w:sz w:val="30"/>
      <w:szCs w:val="32"/>
    </w:rPr>
  </w:style>
  <w:style w:type="paragraph" w:styleId="4">
    <w:name w:val="heading 3"/>
    <w:basedOn w:val="1"/>
    <w:next w:val="1"/>
    <w:link w:val="60"/>
    <w:qFormat/>
    <w:uiPriority w:val="9"/>
    <w:pPr>
      <w:keepNext/>
      <w:keepLines/>
      <w:spacing w:line="360" w:lineRule="auto"/>
      <w:jc w:val="center"/>
      <w:outlineLvl w:val="2"/>
    </w:pPr>
    <w:rPr>
      <w:rFonts w:eastAsia="黑体"/>
      <w:b/>
      <w:bCs/>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b/>
      <w:bCs/>
      <w:sz w:val="28"/>
      <w:szCs w:val="28"/>
    </w:rPr>
  </w:style>
  <w:style w:type="paragraph" w:styleId="6">
    <w:name w:val="heading 5"/>
    <w:basedOn w:val="1"/>
    <w:next w:val="1"/>
    <w:qFormat/>
    <w:uiPriority w:val="0"/>
    <w:pPr>
      <w:keepNext/>
      <w:jc w:val="center"/>
      <w:outlineLvl w:val="4"/>
    </w:pPr>
    <w:rPr>
      <w:rFonts w:ascii="Arial" w:hAnsi="Arial"/>
      <w:sz w:val="28"/>
    </w:rPr>
  </w:style>
  <w:style w:type="paragraph" w:styleId="7">
    <w:name w:val="heading 6"/>
    <w:basedOn w:val="1"/>
    <w:next w:val="1"/>
    <w:qFormat/>
    <w:uiPriority w:val="0"/>
    <w:pPr>
      <w:keepNext/>
      <w:tabs>
        <w:tab w:val="left" w:pos="720"/>
      </w:tabs>
      <w:spacing w:line="240" w:lineRule="atLeast"/>
      <w:ind w:left="720" w:hanging="180"/>
      <w:outlineLvl w:val="5"/>
    </w:pPr>
    <w:rPr>
      <w:rFonts w:hint="eastAsia" w:ascii="宋体" w:hAnsi="宋体" w:cs="Arial Unicode MS"/>
      <w:color w:val="000000"/>
      <w:sz w:val="28"/>
    </w:rPr>
  </w:style>
  <w:style w:type="paragraph" w:styleId="8">
    <w:name w:val="heading 7"/>
    <w:basedOn w:val="1"/>
    <w:next w:val="9"/>
    <w:qFormat/>
    <w:uiPriority w:val="0"/>
    <w:pPr>
      <w:keepNext/>
      <w:keepLines/>
      <w:spacing w:before="240" w:after="64" w:line="320" w:lineRule="auto"/>
      <w:outlineLvl w:val="6"/>
    </w:pPr>
    <w:rPr>
      <w:b/>
      <w:sz w:val="24"/>
    </w:rPr>
  </w:style>
  <w:style w:type="paragraph" w:styleId="10">
    <w:name w:val="heading 8"/>
    <w:basedOn w:val="1"/>
    <w:next w:val="9"/>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9"/>
    <w:qFormat/>
    <w:uiPriority w:val="0"/>
    <w:pPr>
      <w:keepNext/>
      <w:keepLines/>
      <w:spacing w:before="240" w:after="64" w:line="320" w:lineRule="auto"/>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widowControl/>
      <w:ind w:left="425"/>
      <w:jc w:val="left"/>
    </w:pPr>
    <w:rPr>
      <w:kern w:val="0"/>
      <w:sz w:val="20"/>
      <w:szCs w:val="20"/>
      <w:lang w:eastAsia="en-US"/>
    </w:rPr>
  </w:style>
  <w:style w:type="paragraph" w:styleId="12">
    <w:name w:val="toc 7"/>
    <w:basedOn w:val="1"/>
    <w:next w:val="1"/>
    <w:qFormat/>
    <w:uiPriority w:val="0"/>
    <w:pPr>
      <w:ind w:left="1260"/>
      <w:jc w:val="left"/>
    </w:pPr>
    <w:rPr>
      <w:sz w:val="18"/>
      <w:szCs w:val="18"/>
    </w:rPr>
  </w:style>
  <w:style w:type="paragraph" w:styleId="13">
    <w:name w:val="Document Map"/>
    <w:basedOn w:val="1"/>
    <w:qFormat/>
    <w:uiPriority w:val="0"/>
    <w:pPr>
      <w:shd w:val="clear" w:color="auto" w:fill="000080"/>
    </w:pPr>
  </w:style>
  <w:style w:type="paragraph" w:styleId="14">
    <w:name w:val="annotation text"/>
    <w:basedOn w:val="1"/>
    <w:link w:val="56"/>
    <w:qFormat/>
    <w:uiPriority w:val="99"/>
    <w:pPr>
      <w:jc w:val="left"/>
    </w:pPr>
  </w:style>
  <w:style w:type="paragraph" w:styleId="15">
    <w:name w:val="Body Text 3"/>
    <w:basedOn w:val="1"/>
    <w:qFormat/>
    <w:uiPriority w:val="0"/>
    <w:rPr>
      <w:rFonts w:ascii="宋体" w:hAnsi="宋体"/>
      <w:color w:val="000000"/>
      <w:sz w:val="28"/>
    </w:rPr>
  </w:style>
  <w:style w:type="paragraph" w:styleId="16">
    <w:name w:val="Body Text"/>
    <w:basedOn w:val="1"/>
    <w:qFormat/>
    <w:uiPriority w:val="0"/>
    <w:rPr>
      <w:color w:val="FF0000"/>
    </w:rPr>
  </w:style>
  <w:style w:type="paragraph" w:styleId="17">
    <w:name w:val="Body Text Indent"/>
    <w:basedOn w:val="1"/>
    <w:qFormat/>
    <w:uiPriority w:val="0"/>
    <w:pPr>
      <w:ind w:left="-4" w:leftChars="-2" w:firstLine="560" w:firstLineChars="200"/>
    </w:pPr>
    <w:rPr>
      <w:rFonts w:ascii="宋体"/>
      <w:sz w:val="28"/>
    </w:rPr>
  </w:style>
  <w:style w:type="paragraph" w:styleId="18">
    <w:name w:val="toc 5"/>
    <w:basedOn w:val="1"/>
    <w:next w:val="1"/>
    <w:qFormat/>
    <w:uiPriority w:val="0"/>
    <w:pPr>
      <w:ind w:left="840"/>
      <w:jc w:val="left"/>
    </w:pPr>
    <w:rPr>
      <w:sz w:val="18"/>
      <w:szCs w:val="18"/>
    </w:rPr>
  </w:style>
  <w:style w:type="paragraph" w:styleId="19">
    <w:name w:val="toc 3"/>
    <w:basedOn w:val="1"/>
    <w:next w:val="1"/>
    <w:qFormat/>
    <w:uiPriority w:val="39"/>
    <w:pPr>
      <w:spacing w:line="360" w:lineRule="auto"/>
      <w:ind w:left="420"/>
      <w:jc w:val="left"/>
    </w:pPr>
    <w:rPr>
      <w:iCs/>
      <w:sz w:val="24"/>
      <w:szCs w:val="20"/>
    </w:rPr>
  </w:style>
  <w:style w:type="paragraph" w:styleId="20">
    <w:name w:val="Plain Text"/>
    <w:basedOn w:val="1"/>
    <w:link w:val="55"/>
    <w:qFormat/>
    <w:uiPriority w:val="0"/>
    <w:rPr>
      <w:rFonts w:ascii="宋体" w:hAnsi="Courier New" w:cs="Courier New"/>
      <w:szCs w:val="21"/>
    </w:rPr>
  </w:style>
  <w:style w:type="paragraph" w:styleId="21">
    <w:name w:val="toc 8"/>
    <w:basedOn w:val="1"/>
    <w:next w:val="1"/>
    <w:qFormat/>
    <w:uiPriority w:val="0"/>
    <w:pPr>
      <w:ind w:left="1470"/>
      <w:jc w:val="left"/>
    </w:pPr>
    <w:rPr>
      <w:sz w:val="18"/>
      <w:szCs w:val="18"/>
    </w:rPr>
  </w:style>
  <w:style w:type="paragraph" w:styleId="22">
    <w:name w:val="index 3"/>
    <w:basedOn w:val="1"/>
    <w:next w:val="1"/>
    <w:qFormat/>
    <w:uiPriority w:val="0"/>
    <w:pPr>
      <w:tabs>
        <w:tab w:val="left" w:pos="1756"/>
      </w:tabs>
      <w:ind w:left="1756" w:hanging="425"/>
    </w:pPr>
    <w:rPr>
      <w:sz w:val="24"/>
    </w:rPr>
  </w:style>
  <w:style w:type="paragraph" w:styleId="23">
    <w:name w:val="Date"/>
    <w:basedOn w:val="1"/>
    <w:next w:val="1"/>
    <w:link w:val="54"/>
    <w:qFormat/>
    <w:uiPriority w:val="0"/>
    <w:rPr>
      <w:sz w:val="28"/>
      <w:szCs w:val="20"/>
    </w:rPr>
  </w:style>
  <w:style w:type="paragraph" w:styleId="24">
    <w:name w:val="Body Text Indent 2"/>
    <w:basedOn w:val="1"/>
    <w:link w:val="99"/>
    <w:qFormat/>
    <w:uiPriority w:val="0"/>
    <w:pPr>
      <w:tabs>
        <w:tab w:val="left" w:pos="1140"/>
      </w:tabs>
      <w:ind w:firstLine="560" w:firstLineChars="200"/>
    </w:pPr>
    <w:rPr>
      <w:rFonts w:ascii="Arial" w:hAnsi="Arial"/>
      <w:color w:val="000000"/>
      <w:sz w:val="28"/>
    </w:rPr>
  </w:style>
  <w:style w:type="paragraph" w:styleId="25">
    <w:name w:val="Balloon Text"/>
    <w:basedOn w:val="1"/>
    <w:qFormat/>
    <w:uiPriority w:val="0"/>
    <w:rPr>
      <w:sz w:val="18"/>
      <w:szCs w:val="18"/>
    </w:rPr>
  </w:style>
  <w:style w:type="paragraph" w:styleId="26">
    <w:name w:val="footer"/>
    <w:basedOn w:val="1"/>
    <w:link w:val="101"/>
    <w:qFormat/>
    <w:uiPriority w:val="99"/>
    <w:pPr>
      <w:tabs>
        <w:tab w:val="center" w:pos="4153"/>
        <w:tab w:val="right" w:pos="8306"/>
      </w:tabs>
      <w:snapToGrid w:val="0"/>
      <w:jc w:val="left"/>
    </w:pPr>
    <w:rPr>
      <w:sz w:val="18"/>
      <w:szCs w:val="18"/>
    </w:rPr>
  </w:style>
  <w:style w:type="paragraph" w:styleId="27">
    <w:name w:val="header"/>
    <w:basedOn w:val="1"/>
    <w:link w:val="118"/>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line="360" w:lineRule="auto"/>
      <w:jc w:val="left"/>
    </w:pPr>
    <w:rPr>
      <w:b/>
      <w:bCs/>
      <w:caps/>
      <w:sz w:val="24"/>
      <w:szCs w:val="20"/>
    </w:rPr>
  </w:style>
  <w:style w:type="paragraph" w:styleId="29">
    <w:name w:val="toc 4"/>
    <w:basedOn w:val="1"/>
    <w:next w:val="1"/>
    <w:qFormat/>
    <w:uiPriority w:val="0"/>
    <w:pPr>
      <w:ind w:left="630"/>
      <w:jc w:val="left"/>
    </w:pPr>
    <w:rPr>
      <w:sz w:val="18"/>
      <w:szCs w:val="18"/>
    </w:rPr>
  </w:style>
  <w:style w:type="paragraph" w:styleId="30">
    <w:name w:val="Subtitle"/>
    <w:basedOn w:val="1"/>
    <w:next w:val="1"/>
    <w:link w:val="102"/>
    <w:qFormat/>
    <w:uiPriority w:val="0"/>
    <w:pPr>
      <w:spacing w:before="240" w:after="60" w:line="312" w:lineRule="auto"/>
      <w:jc w:val="center"/>
      <w:outlineLvl w:val="1"/>
    </w:pPr>
    <w:rPr>
      <w:rFonts w:ascii="Cambria" w:hAnsi="Cambria"/>
      <w:b/>
      <w:bCs/>
      <w:kern w:val="28"/>
      <w:sz w:val="32"/>
      <w:szCs w:val="32"/>
    </w:rPr>
  </w:style>
  <w:style w:type="paragraph" w:styleId="31">
    <w:name w:val="footnote text"/>
    <w:basedOn w:val="1"/>
    <w:qFormat/>
    <w:uiPriority w:val="0"/>
    <w:pPr>
      <w:snapToGrid w:val="0"/>
      <w:jc w:val="left"/>
    </w:pPr>
    <w:rPr>
      <w:sz w:val="18"/>
      <w:szCs w:val="18"/>
    </w:rPr>
  </w:style>
  <w:style w:type="paragraph" w:styleId="32">
    <w:name w:val="toc 6"/>
    <w:basedOn w:val="1"/>
    <w:next w:val="1"/>
    <w:qFormat/>
    <w:uiPriority w:val="0"/>
    <w:pPr>
      <w:ind w:left="1050"/>
      <w:jc w:val="left"/>
    </w:pPr>
    <w:rPr>
      <w:sz w:val="18"/>
      <w:szCs w:val="18"/>
    </w:rPr>
  </w:style>
  <w:style w:type="paragraph" w:styleId="33">
    <w:name w:val="Body Text Indent 3"/>
    <w:basedOn w:val="1"/>
    <w:qFormat/>
    <w:uiPriority w:val="0"/>
    <w:pPr>
      <w:ind w:left="360" w:firstLine="480"/>
    </w:pPr>
    <w:rPr>
      <w:sz w:val="24"/>
      <w:szCs w:val="20"/>
    </w:rPr>
  </w:style>
  <w:style w:type="paragraph" w:styleId="34">
    <w:name w:val="toc 2"/>
    <w:basedOn w:val="1"/>
    <w:next w:val="1"/>
    <w:qFormat/>
    <w:uiPriority w:val="39"/>
    <w:pPr>
      <w:spacing w:line="360" w:lineRule="auto"/>
      <w:ind w:left="210"/>
      <w:jc w:val="left"/>
    </w:pPr>
    <w:rPr>
      <w:smallCaps/>
      <w:sz w:val="24"/>
      <w:szCs w:val="20"/>
    </w:rPr>
  </w:style>
  <w:style w:type="paragraph" w:styleId="35">
    <w:name w:val="toc 9"/>
    <w:basedOn w:val="1"/>
    <w:next w:val="1"/>
    <w:qFormat/>
    <w:uiPriority w:val="0"/>
    <w:pPr>
      <w:ind w:left="1680"/>
      <w:jc w:val="left"/>
    </w:pPr>
    <w:rPr>
      <w:sz w:val="18"/>
      <w:szCs w:val="18"/>
    </w:rPr>
  </w:style>
  <w:style w:type="paragraph" w:styleId="36">
    <w:name w:val="Body Text 2"/>
    <w:basedOn w:val="1"/>
    <w:qFormat/>
    <w:uiPriority w:val="0"/>
    <w:rPr>
      <w:rFonts w:ascii="Arial" w:hAnsi="Arial"/>
      <w:b/>
      <w:bCs/>
      <w:sz w:val="28"/>
    </w:rPr>
  </w:style>
  <w:style w:type="paragraph" w:styleId="37">
    <w:name w:val="Normal (Web)"/>
    <w:basedOn w:val="1"/>
    <w:qFormat/>
    <w:uiPriority w:val="99"/>
    <w:pPr>
      <w:spacing w:line="300" w:lineRule="auto"/>
    </w:pPr>
    <w:rPr>
      <w:sz w:val="24"/>
    </w:rPr>
  </w:style>
  <w:style w:type="paragraph" w:styleId="38">
    <w:name w:val="annotation subject"/>
    <w:basedOn w:val="14"/>
    <w:next w:val="14"/>
    <w:link w:val="103"/>
    <w:qFormat/>
    <w:uiPriority w:val="99"/>
    <w:rPr>
      <w:b/>
      <w:bCs/>
    </w:rPr>
  </w:style>
  <w:style w:type="paragraph" w:styleId="39">
    <w:name w:val="Body Text First Indent 2"/>
    <w:basedOn w:val="17"/>
    <w:qFormat/>
    <w:uiPriority w:val="0"/>
    <w:pPr>
      <w:ind w:firstLine="42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22"/>
    <w:rPr>
      <w:b/>
      <w:bCs/>
    </w:rPr>
  </w:style>
  <w:style w:type="character" w:styleId="44">
    <w:name w:val="page number"/>
    <w:basedOn w:val="42"/>
    <w:qFormat/>
    <w:uiPriority w:val="0"/>
  </w:style>
  <w:style w:type="character" w:styleId="45">
    <w:name w:val="FollowedHyperlink"/>
    <w:qFormat/>
    <w:uiPriority w:val="99"/>
    <w:rPr>
      <w:color w:val="800080"/>
      <w:u w:val="single"/>
    </w:rPr>
  </w:style>
  <w:style w:type="character" w:styleId="46">
    <w:name w:val="Emphasis"/>
    <w:basedOn w:val="42"/>
    <w:qFormat/>
    <w:uiPriority w:val="20"/>
    <w:rPr>
      <w:i/>
      <w:iCs/>
    </w:rPr>
  </w:style>
  <w:style w:type="character" w:styleId="47">
    <w:name w:val="Hyperlink"/>
    <w:qFormat/>
    <w:uiPriority w:val="99"/>
    <w:rPr>
      <w:color w:val="0000FF"/>
      <w:u w:val="single"/>
    </w:rPr>
  </w:style>
  <w:style w:type="character" w:styleId="48">
    <w:name w:val="annotation reference"/>
    <w:qFormat/>
    <w:uiPriority w:val="99"/>
    <w:rPr>
      <w:sz w:val="21"/>
      <w:szCs w:val="21"/>
    </w:rPr>
  </w:style>
  <w:style w:type="character" w:styleId="49">
    <w:name w:val="footnote reference"/>
    <w:qFormat/>
    <w:uiPriority w:val="0"/>
    <w:rPr>
      <w:vertAlign w:val="superscript"/>
    </w:rPr>
  </w:style>
  <w:style w:type="character" w:customStyle="1" w:styleId="50">
    <w:name w:val="title21"/>
    <w:qFormat/>
    <w:uiPriority w:val="0"/>
    <w:rPr>
      <w:b/>
      <w:bCs/>
      <w:color w:val="000000"/>
      <w:sz w:val="20"/>
      <w:szCs w:val="20"/>
      <w:u w:val="none"/>
    </w:rPr>
  </w:style>
  <w:style w:type="character" w:customStyle="1" w:styleId="51">
    <w:name w:val="Texte Char"/>
    <w:qFormat/>
    <w:uiPriority w:val="0"/>
    <w:rPr>
      <w:rFonts w:ascii="宋体" w:hAnsi="Courier New" w:eastAsia="宋体"/>
      <w:kern w:val="2"/>
      <w:sz w:val="21"/>
      <w:szCs w:val="21"/>
      <w:lang w:val="en-US" w:eastAsia="zh-CN" w:bidi="ar-SA"/>
    </w:rPr>
  </w:style>
  <w:style w:type="character" w:customStyle="1" w:styleId="52">
    <w:name w:val="content1"/>
    <w:qFormat/>
    <w:uiPriority w:val="0"/>
    <w:rPr>
      <w:sz w:val="18"/>
      <w:szCs w:val="18"/>
    </w:rPr>
  </w:style>
  <w:style w:type="character" w:customStyle="1" w:styleId="53">
    <w:name w:val="标题 2 Char"/>
    <w:link w:val="3"/>
    <w:qFormat/>
    <w:uiPriority w:val="9"/>
    <w:rPr>
      <w:rFonts w:ascii="Arial" w:hAnsi="Arial" w:eastAsia="黑体"/>
      <w:b/>
      <w:bCs/>
      <w:kern w:val="2"/>
      <w:sz w:val="30"/>
      <w:szCs w:val="32"/>
    </w:rPr>
  </w:style>
  <w:style w:type="character" w:customStyle="1" w:styleId="54">
    <w:name w:val="日期 Char"/>
    <w:link w:val="23"/>
    <w:qFormat/>
    <w:uiPriority w:val="0"/>
    <w:rPr>
      <w:rFonts w:eastAsia="宋体"/>
      <w:kern w:val="2"/>
      <w:sz w:val="28"/>
      <w:lang w:val="en-US" w:eastAsia="zh-CN" w:bidi="ar-SA"/>
    </w:rPr>
  </w:style>
  <w:style w:type="character" w:customStyle="1" w:styleId="55">
    <w:name w:val="纯文本 Char1"/>
    <w:link w:val="20"/>
    <w:qFormat/>
    <w:uiPriority w:val="0"/>
    <w:rPr>
      <w:rFonts w:ascii="宋体" w:hAnsi="Courier New" w:eastAsia="宋体" w:cs="Courier New"/>
      <w:kern w:val="2"/>
      <w:sz w:val="21"/>
      <w:szCs w:val="21"/>
      <w:lang w:val="en-US" w:eastAsia="zh-CN" w:bidi="ar-SA"/>
    </w:rPr>
  </w:style>
  <w:style w:type="character" w:customStyle="1" w:styleId="56">
    <w:name w:val="批注文字 Char"/>
    <w:link w:val="14"/>
    <w:qFormat/>
    <w:uiPriority w:val="99"/>
    <w:rPr>
      <w:rFonts w:eastAsia="宋体"/>
      <w:kern w:val="2"/>
      <w:sz w:val="21"/>
      <w:szCs w:val="24"/>
      <w:lang w:val="en-US" w:eastAsia="zh-CN" w:bidi="ar-SA"/>
    </w:rPr>
  </w:style>
  <w:style w:type="character" w:customStyle="1" w:styleId="57">
    <w:name w:val="font1"/>
    <w:basedOn w:val="42"/>
    <w:qFormat/>
    <w:uiPriority w:val="0"/>
  </w:style>
  <w:style w:type="character" w:customStyle="1" w:styleId="58">
    <w:name w:val="标题 1 Char"/>
    <w:link w:val="2"/>
    <w:qFormat/>
    <w:uiPriority w:val="9"/>
    <w:rPr>
      <w:rFonts w:eastAsia="黑体"/>
      <w:b/>
      <w:bCs/>
      <w:sz w:val="32"/>
      <w:szCs w:val="44"/>
    </w:rPr>
  </w:style>
  <w:style w:type="character" w:customStyle="1" w:styleId="59">
    <w:name w:val="Char Char7"/>
    <w:qFormat/>
    <w:uiPriority w:val="0"/>
    <w:rPr>
      <w:rFonts w:ascii="Arial" w:hAnsi="Arial" w:eastAsia="黑体"/>
      <w:b/>
      <w:bCs/>
      <w:kern w:val="2"/>
      <w:sz w:val="30"/>
      <w:szCs w:val="32"/>
      <w:lang w:val="en-US" w:eastAsia="zh-CN" w:bidi="ar-SA"/>
    </w:rPr>
  </w:style>
  <w:style w:type="character" w:customStyle="1" w:styleId="60">
    <w:name w:val="标题 3 Char"/>
    <w:link w:val="4"/>
    <w:qFormat/>
    <w:uiPriority w:val="9"/>
    <w:rPr>
      <w:rFonts w:eastAsia="黑体"/>
      <w:b/>
      <w:bCs/>
      <w:kern w:val="2"/>
      <w:sz w:val="28"/>
      <w:szCs w:val="32"/>
    </w:rPr>
  </w:style>
  <w:style w:type="character" w:customStyle="1" w:styleId="61">
    <w:name w:val="正文缩进 Char"/>
    <w:link w:val="9"/>
    <w:qFormat/>
    <w:uiPriority w:val="0"/>
    <w:rPr>
      <w:rFonts w:eastAsia="宋体"/>
      <w:lang w:val="en-US" w:eastAsia="en-US" w:bidi="ar-SA"/>
    </w:rPr>
  </w:style>
  <w:style w:type="character" w:customStyle="1" w:styleId="62">
    <w:name w:val="Char Char4"/>
    <w:qFormat/>
    <w:uiPriority w:val="0"/>
    <w:rPr>
      <w:rFonts w:ascii="Arial" w:hAnsi="Arial" w:eastAsia="黑体"/>
      <w:b/>
      <w:bCs/>
      <w:kern w:val="2"/>
      <w:sz w:val="30"/>
      <w:szCs w:val="32"/>
      <w:lang w:val="en-US" w:eastAsia="zh-CN" w:bidi="ar-SA"/>
    </w:rPr>
  </w:style>
  <w:style w:type="paragraph" w:customStyle="1" w:styleId="63">
    <w:name w:val="Char Char Char1 Char Char Char Char"/>
    <w:basedOn w:val="1"/>
    <w:qFormat/>
    <w:uiPriority w:val="0"/>
    <w:pPr>
      <w:widowControl/>
      <w:spacing w:after="160" w:line="240" w:lineRule="exact"/>
      <w:jc w:val="left"/>
    </w:pPr>
    <w:rPr>
      <w:szCs w:val="20"/>
    </w:rPr>
  </w:style>
  <w:style w:type="paragraph" w:customStyle="1" w:styleId="64">
    <w:name w:val="CM10"/>
    <w:basedOn w:val="65"/>
    <w:next w:val="65"/>
    <w:qFormat/>
    <w:uiPriority w:val="0"/>
    <w:pPr>
      <w:spacing w:line="468" w:lineRule="atLeast"/>
    </w:pPr>
    <w:rPr>
      <w:color w:val="auto"/>
    </w:rPr>
  </w:style>
  <w:style w:type="paragraph" w:customStyle="1" w:styleId="6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6">
    <w:name w:val="小标题"/>
    <w:basedOn w:val="1"/>
    <w:next w:val="9"/>
    <w:qFormat/>
    <w:uiPriority w:val="0"/>
    <w:pPr>
      <w:tabs>
        <w:tab w:val="left" w:pos="420"/>
      </w:tabs>
      <w:spacing w:beforeLines="50" w:afterLines="50" w:line="360" w:lineRule="auto"/>
      <w:ind w:left="420" w:hanging="420" w:hangingChars="200"/>
    </w:pPr>
    <w:rPr>
      <w:rFonts w:ascii="Arial" w:hAnsi="Arial" w:eastAsia="黑体"/>
      <w:b/>
      <w:sz w:val="28"/>
    </w:rPr>
  </w:style>
  <w:style w:type="paragraph" w:styleId="67">
    <w:name w:val="List Paragraph"/>
    <w:basedOn w:val="1"/>
    <w:link w:val="98"/>
    <w:qFormat/>
    <w:uiPriority w:val="34"/>
    <w:pPr>
      <w:ind w:firstLine="420" w:firstLineChars="200"/>
    </w:pPr>
    <w:rPr>
      <w:rFonts w:ascii="Calibri" w:hAnsi="Calibri"/>
      <w:szCs w:val="22"/>
    </w:rPr>
  </w:style>
  <w:style w:type="paragraph" w:customStyle="1" w:styleId="68">
    <w:name w:val="样式 标题 2PIM2H2Heading 2 Hidden2nd levelh22Header 2l2DO N..."/>
    <w:basedOn w:val="3"/>
    <w:qFormat/>
    <w:uiPriority w:val="0"/>
    <w:pPr>
      <w:jc w:val="left"/>
    </w:pPr>
    <w:rPr>
      <w:rFonts w:cs="宋体"/>
      <w:sz w:val="28"/>
      <w:szCs w:val="20"/>
    </w:rPr>
  </w:style>
  <w:style w:type="paragraph" w:customStyle="1" w:styleId="69">
    <w:name w:val="Char2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1">
    <w:name w:val="编号1"/>
    <w:basedOn w:val="1"/>
    <w:qFormat/>
    <w:uiPriority w:val="0"/>
    <w:pPr>
      <w:spacing w:line="360" w:lineRule="auto"/>
    </w:pPr>
    <w:rPr>
      <w:rFonts w:ascii="Arial" w:hAnsi="Arial"/>
      <w:sz w:val="24"/>
      <w:szCs w:val="20"/>
    </w:rPr>
  </w:style>
  <w:style w:type="paragraph" w:customStyle="1" w:styleId="7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73">
    <w:name w:val="表头文本"/>
    <w:basedOn w:val="1"/>
    <w:qFormat/>
    <w:uiPriority w:val="0"/>
    <w:pPr>
      <w:autoSpaceDE w:val="0"/>
      <w:autoSpaceDN w:val="0"/>
      <w:adjustRightInd w:val="0"/>
      <w:jc w:val="center"/>
    </w:pPr>
    <w:rPr>
      <w:b/>
      <w:kern w:val="0"/>
      <w:sz w:val="24"/>
      <w:szCs w:val="20"/>
    </w:rPr>
  </w:style>
  <w:style w:type="paragraph" w:customStyle="1" w:styleId="74">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5">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76">
    <w:name w:val="xl27"/>
    <w:basedOn w:val="1"/>
    <w:qFormat/>
    <w:uiPriority w:val="0"/>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7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78">
    <w:name w:val="4"/>
    <w:basedOn w:val="1"/>
    <w:next w:val="20"/>
    <w:qFormat/>
    <w:uiPriority w:val="0"/>
    <w:rPr>
      <w:rFonts w:ascii="宋体" w:hAnsi="Courier New" w:cs="Courier New"/>
      <w:szCs w:val="21"/>
    </w:rPr>
  </w:style>
  <w:style w:type="paragraph" w:customStyle="1" w:styleId="79">
    <w:name w:val="表格文字"/>
    <w:basedOn w:val="1"/>
    <w:qFormat/>
    <w:uiPriority w:val="0"/>
  </w:style>
  <w:style w:type="paragraph" w:customStyle="1" w:styleId="80">
    <w:name w:val="纯文本 Char"/>
    <w:basedOn w:val="1"/>
    <w:next w:val="20"/>
    <w:qFormat/>
    <w:uiPriority w:val="0"/>
    <w:rPr>
      <w:rFonts w:ascii="宋体" w:hAnsi="Courier New"/>
      <w:szCs w:val="20"/>
    </w:rPr>
  </w:style>
  <w:style w:type="paragraph" w:customStyle="1" w:styleId="81">
    <w:name w:val="样式3"/>
    <w:basedOn w:val="20"/>
    <w:qFormat/>
    <w:uiPriority w:val="0"/>
    <w:pPr>
      <w:spacing w:line="0" w:lineRule="atLeast"/>
      <w:outlineLvl w:val="0"/>
    </w:pPr>
    <w:rPr>
      <w:rFonts w:cs="Times New Roman"/>
      <w:sz w:val="28"/>
      <w:szCs w:val="20"/>
    </w:rPr>
  </w:style>
  <w:style w:type="paragraph" w:styleId="8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排列"/>
    <w:basedOn w:val="1"/>
    <w:qFormat/>
    <w:uiPriority w:val="0"/>
    <w:pPr>
      <w:tabs>
        <w:tab w:val="left" w:pos="1320"/>
      </w:tabs>
      <w:spacing w:line="360" w:lineRule="auto"/>
      <w:ind w:left="1320" w:hanging="420"/>
    </w:pPr>
    <w:rPr>
      <w:sz w:val="24"/>
    </w:rPr>
  </w:style>
  <w:style w:type="paragraph" w:customStyle="1" w:styleId="84">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85">
    <w:name w:val="项目排列"/>
    <w:basedOn w:val="1"/>
    <w:qFormat/>
    <w:uiPriority w:val="0"/>
    <w:pPr>
      <w:tabs>
        <w:tab w:val="left" w:pos="780"/>
      </w:tabs>
      <w:spacing w:beforeLines="50" w:afterLines="50" w:line="300" w:lineRule="auto"/>
      <w:ind w:left="780" w:hanging="420"/>
    </w:pPr>
    <w:rPr>
      <w:sz w:val="24"/>
    </w:rPr>
  </w:style>
  <w:style w:type="paragraph" w:customStyle="1" w:styleId="86">
    <w:name w:val="列出段落1"/>
    <w:basedOn w:val="1"/>
    <w:qFormat/>
    <w:uiPriority w:val="0"/>
    <w:pPr>
      <w:ind w:firstLine="420" w:firstLineChars="200"/>
    </w:pPr>
    <w:rPr>
      <w:rFonts w:ascii="Calibri" w:hAnsi="Calibri"/>
      <w:szCs w:val="22"/>
    </w:rPr>
  </w:style>
  <w:style w:type="paragraph" w:customStyle="1" w:styleId="87">
    <w:name w:val="5"/>
    <w:basedOn w:val="1"/>
    <w:qFormat/>
    <w:uiPriority w:val="0"/>
    <w:pPr>
      <w:widowControl/>
      <w:spacing w:after="160" w:line="240" w:lineRule="exact"/>
      <w:jc w:val="left"/>
    </w:pPr>
    <w:rPr>
      <w:rFonts w:ascii="Verdana" w:hAnsi="Verdana"/>
      <w:kern w:val="0"/>
      <w:sz w:val="20"/>
      <w:szCs w:val="20"/>
      <w:lang w:eastAsia="en-US"/>
    </w:rPr>
  </w:style>
  <w:style w:type="paragraph" w:customStyle="1" w:styleId="88">
    <w:name w:val="ptdl"/>
    <w:basedOn w:val="1"/>
    <w:qFormat/>
    <w:uiPriority w:val="0"/>
    <w:pPr>
      <w:spacing w:after="156"/>
      <w:ind w:firstLine="480"/>
    </w:pPr>
    <w:rPr>
      <w:sz w:val="24"/>
      <w:szCs w:val="20"/>
    </w:rPr>
  </w:style>
  <w:style w:type="paragraph" w:customStyle="1" w:styleId="89">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90">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1">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2">
    <w:name w:val="默认段落字体 Para Char"/>
    <w:basedOn w:val="1"/>
    <w:qFormat/>
    <w:uiPriority w:val="0"/>
    <w:pPr>
      <w:spacing w:line="360" w:lineRule="auto"/>
      <w:jc w:val="left"/>
    </w:pPr>
    <w:rPr>
      <w:rFonts w:eastAsia="仿宋_GB2312"/>
      <w:b/>
      <w:sz w:val="32"/>
    </w:rPr>
  </w:style>
  <w:style w:type="paragraph" w:customStyle="1" w:styleId="93">
    <w:name w:val="简单回函地址"/>
    <w:basedOn w:val="1"/>
    <w:qFormat/>
    <w:uiPriority w:val="0"/>
    <w:rPr>
      <w:szCs w:val="20"/>
    </w:rPr>
  </w:style>
  <w:style w:type="paragraph" w:customStyle="1" w:styleId="94">
    <w:name w:val="Char Char Char Char Char Char Char"/>
    <w:basedOn w:val="1"/>
    <w:qFormat/>
    <w:uiPriority w:val="0"/>
  </w:style>
  <w:style w:type="paragraph" w:customStyle="1" w:styleId="95">
    <w:name w:val="TOC 标题1"/>
    <w:basedOn w:val="2"/>
    <w:next w:val="1"/>
    <w:qFormat/>
    <w:uiPriority w:val="39"/>
    <w:pPr>
      <w:widowControl/>
      <w:spacing w:before="480" w:line="276" w:lineRule="auto"/>
      <w:jc w:val="left"/>
      <w:outlineLvl w:val="9"/>
    </w:pPr>
    <w:rPr>
      <w:rFonts w:ascii="Cambria" w:hAnsi="Cambria" w:eastAsia="宋体"/>
      <w:color w:val="365F91"/>
      <w:sz w:val="28"/>
      <w:szCs w:val="28"/>
    </w:rPr>
  </w:style>
  <w:style w:type="paragraph" w:customStyle="1" w:styleId="96">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97">
    <w:name w:val="标题 31"/>
    <w:basedOn w:val="1"/>
    <w:qFormat/>
    <w:uiPriority w:val="0"/>
    <w:pPr>
      <w:tabs>
        <w:tab w:val="left" w:pos="425"/>
        <w:tab w:val="left" w:pos="1756"/>
      </w:tabs>
      <w:ind w:left="1756" w:hanging="425"/>
    </w:pPr>
  </w:style>
  <w:style w:type="character" w:customStyle="1" w:styleId="98">
    <w:name w:val="列出段落 Char"/>
    <w:link w:val="67"/>
    <w:qFormat/>
    <w:uiPriority w:val="34"/>
    <w:rPr>
      <w:rFonts w:ascii="Calibri" w:hAnsi="Calibri"/>
      <w:kern w:val="2"/>
      <w:sz w:val="21"/>
      <w:szCs w:val="22"/>
    </w:rPr>
  </w:style>
  <w:style w:type="character" w:customStyle="1" w:styleId="99">
    <w:name w:val="正文文本缩进 2 Char"/>
    <w:link w:val="24"/>
    <w:qFormat/>
    <w:uiPriority w:val="0"/>
    <w:rPr>
      <w:rFonts w:ascii="Arial" w:hAnsi="Arial"/>
      <w:color w:val="000000"/>
      <w:kern w:val="2"/>
      <w:sz w:val="28"/>
      <w:szCs w:val="24"/>
    </w:rPr>
  </w:style>
  <w:style w:type="paragraph" w:customStyle="1" w:styleId="100">
    <w:name w:val="修订1"/>
    <w:qFormat/>
    <w:uiPriority w:val="99"/>
    <w:rPr>
      <w:rFonts w:ascii="Times New Roman" w:hAnsi="Times New Roman" w:eastAsia="宋体" w:cs="Times New Roman"/>
      <w:kern w:val="2"/>
      <w:sz w:val="21"/>
      <w:szCs w:val="24"/>
      <w:lang w:val="en-US" w:eastAsia="zh-CN" w:bidi="ar-SA"/>
    </w:rPr>
  </w:style>
  <w:style w:type="character" w:customStyle="1" w:styleId="101">
    <w:name w:val="页脚 Char"/>
    <w:link w:val="26"/>
    <w:qFormat/>
    <w:uiPriority w:val="99"/>
    <w:rPr>
      <w:kern w:val="2"/>
      <w:sz w:val="18"/>
      <w:szCs w:val="18"/>
    </w:rPr>
  </w:style>
  <w:style w:type="character" w:customStyle="1" w:styleId="102">
    <w:name w:val="副标题 Char"/>
    <w:basedOn w:val="42"/>
    <w:link w:val="30"/>
    <w:qFormat/>
    <w:uiPriority w:val="0"/>
    <w:rPr>
      <w:rFonts w:ascii="Cambria" w:hAnsi="Cambria"/>
      <w:b/>
      <w:bCs/>
      <w:kern w:val="28"/>
      <w:sz w:val="32"/>
      <w:szCs w:val="32"/>
    </w:rPr>
  </w:style>
  <w:style w:type="character" w:customStyle="1" w:styleId="103">
    <w:name w:val="批注主题 Char"/>
    <w:basedOn w:val="56"/>
    <w:link w:val="38"/>
    <w:qFormat/>
    <w:uiPriority w:val="99"/>
    <w:rPr>
      <w:b/>
      <w:bCs/>
    </w:rPr>
  </w:style>
  <w:style w:type="character" w:customStyle="1" w:styleId="104">
    <w:name w:val="customize__projectname"/>
    <w:basedOn w:val="42"/>
    <w:qFormat/>
    <w:uiPriority w:val="0"/>
  </w:style>
  <w:style w:type="character" w:customStyle="1" w:styleId="105">
    <w:name w:val="customize_recordno"/>
    <w:basedOn w:val="42"/>
    <w:qFormat/>
    <w:uiPriority w:val="0"/>
  </w:style>
  <w:style w:type="character" w:customStyle="1" w:styleId="106">
    <w:name w:val="customize_project_code"/>
    <w:basedOn w:val="42"/>
    <w:qFormat/>
    <w:uiPriority w:val="0"/>
  </w:style>
  <w:style w:type="character" w:customStyle="1" w:styleId="107">
    <w:name w:val="customize_cgr"/>
    <w:basedOn w:val="42"/>
    <w:qFormat/>
    <w:uiPriority w:val="0"/>
  </w:style>
  <w:style w:type="character" w:customStyle="1" w:styleId="108">
    <w:name w:val="customize_agent"/>
    <w:basedOn w:val="42"/>
    <w:qFormat/>
    <w:uiPriority w:val="0"/>
  </w:style>
  <w:style w:type="character" w:customStyle="1" w:styleId="109">
    <w:name w:val="customize_cgrdz"/>
    <w:basedOn w:val="42"/>
    <w:qFormat/>
    <w:uiPriority w:val="0"/>
  </w:style>
  <w:style w:type="character" w:customStyle="1" w:styleId="110">
    <w:name w:val="customize_cgrdh"/>
    <w:basedOn w:val="42"/>
    <w:qFormat/>
    <w:uiPriority w:val="0"/>
  </w:style>
  <w:style w:type="character" w:customStyle="1" w:styleId="111">
    <w:name w:val="customize_agentadd"/>
    <w:basedOn w:val="42"/>
    <w:qFormat/>
    <w:uiPriority w:val="0"/>
  </w:style>
  <w:style w:type="character" w:customStyle="1" w:styleId="112">
    <w:name w:val="customize_agenttel"/>
    <w:basedOn w:val="42"/>
    <w:qFormat/>
    <w:uiPriority w:val="0"/>
  </w:style>
  <w:style w:type="character" w:customStyle="1" w:styleId="113">
    <w:name w:val="editinput"/>
    <w:basedOn w:val="42"/>
    <w:qFormat/>
    <w:uiPriority w:val="0"/>
  </w:style>
  <w:style w:type="character" w:customStyle="1" w:styleId="114">
    <w:name w:val="edittexttarea"/>
    <w:basedOn w:val="42"/>
    <w:qFormat/>
    <w:uiPriority w:val="0"/>
  </w:style>
  <w:style w:type="table" w:customStyle="1" w:styleId="115">
    <w:name w:val="网格型1"/>
    <w:basedOn w:val="40"/>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6">
    <w:name w:val="网格型2"/>
    <w:basedOn w:val="40"/>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7">
    <w:name w:val="网格型3"/>
    <w:basedOn w:val="40"/>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8">
    <w:name w:val="页眉 Char"/>
    <w:basedOn w:val="42"/>
    <w:link w:val="27"/>
    <w:qFormat/>
    <w:uiPriority w:val="99"/>
    <w:rPr>
      <w:kern w:val="2"/>
      <w:sz w:val="18"/>
      <w:szCs w:val="18"/>
    </w:rPr>
  </w:style>
  <w:style w:type="character" w:customStyle="1" w:styleId="119">
    <w:name w:val="customize_cgrtelman"/>
    <w:basedOn w:val="42"/>
    <w:qFormat/>
    <w:uiPriority w:val="0"/>
  </w:style>
  <w:style w:type="character" w:customStyle="1" w:styleId="120">
    <w:name w:val="customize_agency_connector"/>
    <w:basedOn w:val="42"/>
    <w:qFormat/>
    <w:uiPriority w:val="0"/>
  </w:style>
  <w:style w:type="table" w:customStyle="1" w:styleId="121">
    <w:name w:val="网格型5"/>
    <w:basedOn w:val="4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cyu</Company>
  <Pages>68</Pages>
  <Words>2098</Words>
  <Characters>2283</Characters>
  <Lines>264</Lines>
  <Paragraphs>74</Paragraphs>
  <TotalTime>10</TotalTime>
  <ScaleCrop>false</ScaleCrop>
  <LinksUpToDate>false</LinksUpToDate>
  <CharactersWithSpaces>2378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2021-01-27T19:44:00Z</dcterms:created>
  <dc:creator>35094</dc:creator>
  <cp:lastModifiedBy>xmadmin</cp:lastModifiedBy>
  <cp:lastPrinted>2025-01-15T00:22:00Z</cp:lastPrinted>
  <dcterms:modified xsi:type="dcterms:W3CDTF">2025-10-16T17:05:17Z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AEECC706EFFE0ABA0644EF68BA2E34C6</vt:lpwstr>
  </property>
  <property fmtid="{D5CDD505-2E9C-101B-9397-08002B2CF9AE}" pid="4" name="KSOTemplateDocerSaveRecord">
    <vt:lpwstr>eyJoZGlkIjoiMzI5NTJhZGJiZjFmYjM1YzJkOTVhMDkxYzk4NWI2OWUiLCJ1c2VySWQiOiIxNTI2NjUxNTE3In0=</vt:lpwstr>
  </property>
</Properties>
</file>