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outline/>
          <w:sz w:val="120"/>
          <w:szCs w:val="120"/>
          <w14:textOutline w14:w="9525" w14:cap="flat" w14:cmpd="sng" w14:algn="ctr">
            <w14:solidFill>
              <w14:srgbClr w14:val="000000"/>
            </w14:solidFill>
            <w14:prstDash w14:val="solid"/>
            <w14:round/>
          </w14:textOutline>
          <w14:textFill>
            <w14:noFill/>
          </w14:textFill>
        </w:rPr>
      </w:pPr>
    </w:p>
    <w:p>
      <w:pPr>
        <w:spacing w:line="360" w:lineRule="auto"/>
        <w:jc w:val="center"/>
        <w:rPr>
          <w:rFonts w:ascii="宋体" w:hAnsi="宋体" w:cs="宋体"/>
          <w:sz w:val="24"/>
        </w:rPr>
      </w:pPr>
      <w:r>
        <w:rPr>
          <w:rFonts w:hint="eastAsia" w:ascii="宋体" w:hAnsi="宋体" w:cs="宋体"/>
          <w:b/>
          <w:outline/>
          <w:sz w:val="120"/>
          <w:szCs w:val="120"/>
          <w14:textOutline w14:w="9525" w14:cap="flat" w14:cmpd="sng" w14:algn="ctr">
            <w14:solidFill>
              <w14:srgbClr w14:val="000000"/>
            </w14:solidFill>
            <w14:prstDash w14:val="solid"/>
            <w14:round/>
          </w14:textOutline>
          <w14:textFill>
            <w14:noFill/>
          </w14:textFill>
        </w:rPr>
        <w:t>采 购 文 件</w:t>
      </w:r>
    </w:p>
    <w:p>
      <w:pPr>
        <w:spacing w:line="360" w:lineRule="auto"/>
        <w:ind w:firstLine="1303" w:firstLineChars="543"/>
        <w:rPr>
          <w:rFonts w:ascii="宋体" w:hAnsi="宋体"/>
          <w:sz w:val="24"/>
        </w:rPr>
      </w:pPr>
    </w:p>
    <w:p>
      <w:pPr>
        <w:spacing w:line="360" w:lineRule="auto"/>
        <w:ind w:firstLine="1303" w:firstLineChars="543"/>
        <w:rPr>
          <w:rFonts w:ascii="宋体" w:hAnsi="宋体"/>
          <w:sz w:val="24"/>
        </w:rPr>
      </w:pPr>
    </w:p>
    <w:p>
      <w:pPr>
        <w:spacing w:line="360" w:lineRule="auto"/>
        <w:ind w:firstLine="1303" w:firstLineChars="543"/>
        <w:rPr>
          <w:rFonts w:ascii="宋体" w:hAnsi="宋体"/>
          <w:sz w:val="24"/>
        </w:rPr>
      </w:pPr>
    </w:p>
    <w:p>
      <w:pPr>
        <w:spacing w:line="360" w:lineRule="auto"/>
        <w:ind w:firstLine="2399" w:firstLineChars="543"/>
        <w:rPr>
          <w:rFonts w:ascii="宋体" w:hAnsi="宋体"/>
          <w:b/>
          <w:sz w:val="44"/>
        </w:rPr>
      </w:pPr>
    </w:p>
    <w:tbl>
      <w:tblPr>
        <w:tblStyle w:val="24"/>
        <w:tblW w:w="7393" w:type="dxa"/>
        <w:jc w:val="center"/>
        <w:tblInd w:w="0" w:type="dxa"/>
        <w:tblLayout w:type="fixed"/>
        <w:tblCellMar>
          <w:top w:w="0" w:type="dxa"/>
          <w:left w:w="108" w:type="dxa"/>
          <w:bottom w:w="0" w:type="dxa"/>
          <w:right w:w="108" w:type="dxa"/>
        </w:tblCellMar>
      </w:tblPr>
      <w:tblGrid>
        <w:gridCol w:w="1679"/>
        <w:gridCol w:w="5714"/>
      </w:tblGrid>
      <w:tr>
        <w:tblPrEx>
          <w:tblLayout w:type="fixed"/>
          <w:tblCellMar>
            <w:top w:w="0" w:type="dxa"/>
            <w:left w:w="108" w:type="dxa"/>
            <w:bottom w:w="0" w:type="dxa"/>
            <w:right w:w="108" w:type="dxa"/>
          </w:tblCellMar>
        </w:tblPrEx>
        <w:trPr>
          <w:trHeight w:val="680" w:hRule="atLeast"/>
          <w:jc w:val="center"/>
        </w:trPr>
        <w:tc>
          <w:tcPr>
            <w:tcW w:w="1679" w:type="dxa"/>
            <w:vAlign w:val="bottom"/>
          </w:tcPr>
          <w:p>
            <w:pPr>
              <w:jc w:val="right"/>
              <w:rPr>
                <w:rFonts w:ascii="宋体" w:hAnsi="宋体" w:cs="宋体"/>
                <w:b/>
                <w:sz w:val="30"/>
                <w:szCs w:val="30"/>
              </w:rPr>
            </w:pPr>
            <w:r>
              <w:rPr>
                <w:rFonts w:hint="eastAsia" w:ascii="宋体" w:hAnsi="宋体" w:cs="宋体"/>
                <w:b/>
                <w:sz w:val="30"/>
                <w:szCs w:val="30"/>
              </w:rPr>
              <w:t>项目编号：</w:t>
            </w:r>
          </w:p>
        </w:tc>
        <w:tc>
          <w:tcPr>
            <w:tcW w:w="5714" w:type="dxa"/>
            <w:tcBorders>
              <w:bottom w:val="single" w:color="auto" w:sz="4" w:space="0"/>
            </w:tcBorders>
            <w:vAlign w:val="bottom"/>
          </w:tcPr>
          <w:p>
            <w:pPr>
              <w:jc w:val="center"/>
              <w:rPr>
                <w:rFonts w:ascii="宋体" w:hAnsi="宋体" w:cs="宋体"/>
                <w:b/>
                <w:sz w:val="30"/>
                <w:szCs w:val="30"/>
              </w:rPr>
            </w:pPr>
            <w:r>
              <w:rPr>
                <w:rFonts w:hint="eastAsia" w:ascii="宋体" w:hAnsi="宋体" w:cs="宋体"/>
                <w:b/>
                <w:color w:val="000000"/>
                <w:sz w:val="30"/>
                <w:szCs w:val="30"/>
              </w:rPr>
              <w:t>JLX2021-001</w:t>
            </w:r>
          </w:p>
        </w:tc>
      </w:tr>
      <w:tr>
        <w:tblPrEx>
          <w:tblLayout w:type="fixed"/>
          <w:tblCellMar>
            <w:top w:w="0" w:type="dxa"/>
            <w:left w:w="108" w:type="dxa"/>
            <w:bottom w:w="0" w:type="dxa"/>
            <w:right w:w="108" w:type="dxa"/>
          </w:tblCellMar>
        </w:tblPrEx>
        <w:trPr>
          <w:trHeight w:val="680" w:hRule="atLeast"/>
          <w:jc w:val="center"/>
        </w:trPr>
        <w:tc>
          <w:tcPr>
            <w:tcW w:w="1679" w:type="dxa"/>
            <w:vAlign w:val="bottom"/>
          </w:tcPr>
          <w:p>
            <w:pPr>
              <w:jc w:val="right"/>
              <w:rPr>
                <w:rFonts w:ascii="宋体" w:hAnsi="宋体" w:cs="宋体"/>
                <w:b/>
                <w:sz w:val="30"/>
                <w:szCs w:val="30"/>
              </w:rPr>
            </w:pPr>
            <w:r>
              <w:rPr>
                <w:rFonts w:hint="eastAsia" w:ascii="宋体" w:hAnsi="宋体" w:cs="宋体"/>
                <w:b/>
                <w:sz w:val="30"/>
                <w:szCs w:val="30"/>
              </w:rPr>
              <w:t>项目名称：</w:t>
            </w:r>
          </w:p>
        </w:tc>
        <w:tc>
          <w:tcPr>
            <w:tcW w:w="5714" w:type="dxa"/>
            <w:tcBorders>
              <w:top w:val="single" w:color="auto" w:sz="4" w:space="0"/>
              <w:bottom w:val="single" w:color="auto" w:sz="4" w:space="0"/>
            </w:tcBorders>
            <w:vAlign w:val="bottom"/>
          </w:tcPr>
          <w:p>
            <w:pPr>
              <w:jc w:val="center"/>
              <w:rPr>
                <w:rFonts w:ascii="宋体" w:hAnsi="宋体" w:cs="宋体"/>
                <w:b/>
                <w:sz w:val="30"/>
                <w:szCs w:val="30"/>
              </w:rPr>
            </w:pPr>
            <w:r>
              <w:rPr>
                <w:rFonts w:hint="eastAsia" w:ascii="宋体" w:hAnsi="宋体" w:cs="宋体"/>
                <w:b/>
                <w:sz w:val="30"/>
                <w:szCs w:val="30"/>
              </w:rPr>
              <w:t>消防设施维修更换</w:t>
            </w:r>
          </w:p>
        </w:tc>
      </w:tr>
      <w:tr>
        <w:tblPrEx>
          <w:tblLayout w:type="fixed"/>
          <w:tblCellMar>
            <w:top w:w="0" w:type="dxa"/>
            <w:left w:w="108" w:type="dxa"/>
            <w:bottom w:w="0" w:type="dxa"/>
            <w:right w:w="108" w:type="dxa"/>
          </w:tblCellMar>
        </w:tblPrEx>
        <w:trPr>
          <w:trHeight w:val="680" w:hRule="atLeast"/>
          <w:jc w:val="center"/>
        </w:trPr>
        <w:tc>
          <w:tcPr>
            <w:tcW w:w="1679" w:type="dxa"/>
            <w:vAlign w:val="bottom"/>
          </w:tcPr>
          <w:p>
            <w:pPr>
              <w:jc w:val="right"/>
              <w:rPr>
                <w:rFonts w:ascii="宋体" w:hAnsi="宋体" w:cs="宋体"/>
                <w:b/>
                <w:sz w:val="30"/>
                <w:szCs w:val="30"/>
              </w:rPr>
            </w:pPr>
            <w:r>
              <w:rPr>
                <w:rFonts w:hint="eastAsia" w:ascii="宋体" w:hAnsi="宋体" w:cs="宋体"/>
                <w:b/>
                <w:sz w:val="30"/>
                <w:szCs w:val="30"/>
              </w:rPr>
              <w:t>采购方式：</w:t>
            </w:r>
          </w:p>
        </w:tc>
        <w:tc>
          <w:tcPr>
            <w:tcW w:w="5714" w:type="dxa"/>
            <w:tcBorders>
              <w:top w:val="single" w:color="auto" w:sz="4" w:space="0"/>
              <w:bottom w:val="single" w:color="auto" w:sz="4" w:space="0"/>
            </w:tcBorders>
            <w:vAlign w:val="bottom"/>
          </w:tcPr>
          <w:p>
            <w:pPr>
              <w:jc w:val="center"/>
              <w:rPr>
                <w:rFonts w:ascii="宋体" w:hAnsi="宋体" w:cs="宋体"/>
                <w:b/>
                <w:sz w:val="30"/>
                <w:szCs w:val="30"/>
              </w:rPr>
            </w:pPr>
            <w:r>
              <w:rPr>
                <w:rFonts w:hint="eastAsia" w:ascii="宋体" w:hAnsi="宋体" w:cs="宋体"/>
                <w:b/>
                <w:sz w:val="30"/>
                <w:szCs w:val="30"/>
              </w:rPr>
              <w:t>竞争性磋商</w:t>
            </w:r>
          </w:p>
        </w:tc>
      </w:tr>
      <w:tr>
        <w:tblPrEx>
          <w:tblLayout w:type="fixed"/>
          <w:tblCellMar>
            <w:top w:w="0" w:type="dxa"/>
            <w:left w:w="108" w:type="dxa"/>
            <w:bottom w:w="0" w:type="dxa"/>
            <w:right w:w="108" w:type="dxa"/>
          </w:tblCellMar>
        </w:tblPrEx>
        <w:trPr>
          <w:trHeight w:val="680" w:hRule="atLeast"/>
          <w:jc w:val="center"/>
        </w:trPr>
        <w:tc>
          <w:tcPr>
            <w:tcW w:w="1679" w:type="dxa"/>
            <w:vAlign w:val="bottom"/>
          </w:tcPr>
          <w:p>
            <w:pPr>
              <w:jc w:val="right"/>
              <w:rPr>
                <w:rFonts w:ascii="宋体" w:hAnsi="宋体" w:cs="宋体"/>
                <w:b/>
                <w:sz w:val="30"/>
                <w:szCs w:val="30"/>
              </w:rPr>
            </w:pPr>
            <w:r>
              <w:rPr>
                <w:rFonts w:hint="eastAsia" w:ascii="宋体" w:hAnsi="宋体" w:cs="宋体"/>
                <w:b/>
                <w:sz w:val="30"/>
                <w:szCs w:val="30"/>
              </w:rPr>
              <w:t>采 购 人：</w:t>
            </w:r>
          </w:p>
        </w:tc>
        <w:tc>
          <w:tcPr>
            <w:tcW w:w="5714" w:type="dxa"/>
            <w:tcBorders>
              <w:top w:val="single" w:color="auto" w:sz="4" w:space="0"/>
              <w:bottom w:val="single" w:color="auto" w:sz="4" w:space="0"/>
            </w:tcBorders>
            <w:vAlign w:val="bottom"/>
          </w:tcPr>
          <w:p>
            <w:pPr>
              <w:jc w:val="center"/>
              <w:rPr>
                <w:rFonts w:ascii="宋体" w:hAnsi="宋体" w:cs="宋体"/>
                <w:b/>
                <w:sz w:val="30"/>
                <w:szCs w:val="30"/>
              </w:rPr>
            </w:pPr>
            <w:r>
              <w:rPr>
                <w:rFonts w:hint="eastAsia" w:ascii="宋体" w:hAnsi="宋体" w:cs="宋体"/>
                <w:b/>
                <w:sz w:val="30"/>
                <w:szCs w:val="30"/>
              </w:rPr>
              <w:t>厦门市社会福利中心</w:t>
            </w:r>
          </w:p>
        </w:tc>
      </w:tr>
    </w:tbl>
    <w:p>
      <w:pPr>
        <w:spacing w:line="360" w:lineRule="auto"/>
        <w:ind w:firstLine="1966" w:firstLineChars="445"/>
        <w:rPr>
          <w:rFonts w:ascii="宋体" w:hAnsi="宋体"/>
          <w:b/>
          <w:sz w:val="44"/>
        </w:rPr>
      </w:pPr>
    </w:p>
    <w:p>
      <w:pPr>
        <w:spacing w:line="360" w:lineRule="auto"/>
        <w:jc w:val="center"/>
        <w:rPr>
          <w:rFonts w:ascii="宋体" w:hAnsi="宋体"/>
          <w:b/>
          <w:sz w:val="44"/>
        </w:rPr>
      </w:pPr>
    </w:p>
    <w:p>
      <w:pPr>
        <w:spacing w:line="360" w:lineRule="auto"/>
        <w:jc w:val="center"/>
        <w:rPr>
          <w:rFonts w:ascii="宋体" w:hAnsi="宋体"/>
          <w:b/>
          <w:sz w:val="32"/>
          <w:szCs w:val="32"/>
        </w:rPr>
      </w:pPr>
      <w:bookmarkStart w:id="76" w:name="_GoBack"/>
      <w:bookmarkEnd w:id="76"/>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right"/>
        <w:rPr>
          <w:rFonts w:ascii="宋体" w:hAnsi="宋体"/>
          <w:b/>
          <w:sz w:val="32"/>
          <w:szCs w:val="32"/>
        </w:rPr>
      </w:pPr>
      <w:r>
        <w:rPr>
          <w:rFonts w:hint="eastAsia" w:ascii="宋体" w:hAnsi="宋体"/>
          <w:b/>
          <w:sz w:val="32"/>
          <w:szCs w:val="32"/>
        </w:rPr>
        <w:t>福建精磊信工程管理有限公司</w:t>
      </w:r>
    </w:p>
    <w:p>
      <w:pPr>
        <w:spacing w:line="360" w:lineRule="auto"/>
        <w:jc w:val="right"/>
        <w:rPr>
          <w:rFonts w:ascii="宋体" w:hAnsi="宋体"/>
          <w:b/>
          <w:sz w:val="32"/>
          <w:szCs w:val="32"/>
        </w:rPr>
      </w:pPr>
      <w:r>
        <w:rPr>
          <w:rFonts w:hint="eastAsia" w:ascii="宋体" w:hAnsi="宋体"/>
          <w:b/>
          <w:sz w:val="32"/>
          <w:szCs w:val="32"/>
        </w:rPr>
        <w:t>2021年04月</w:t>
      </w:r>
      <w:r>
        <w:rPr>
          <w:rFonts w:hint="eastAsia" w:ascii="宋体" w:hAnsi="宋体"/>
          <w:b/>
          <w:sz w:val="32"/>
          <w:szCs w:val="32"/>
          <w:lang w:eastAsia="zh-CN"/>
        </w:rPr>
        <w:t>25</w:t>
      </w:r>
      <w:r>
        <w:rPr>
          <w:rFonts w:hint="eastAsia" w:ascii="宋体" w:hAnsi="宋体"/>
          <w:b/>
          <w:sz w:val="32"/>
          <w:szCs w:val="32"/>
        </w:rPr>
        <w:t>日</w:t>
      </w:r>
    </w:p>
    <w:p>
      <w:pPr>
        <w:tabs>
          <w:tab w:val="left" w:pos="825"/>
        </w:tabs>
        <w:ind w:left="18"/>
        <w:jc w:val="center"/>
        <w:rPr>
          <w:rFonts w:ascii="宋体" w:hAnsi="宋体" w:cs="宋体"/>
          <w:b/>
          <w:bCs/>
          <w:w w:val="95"/>
          <w:sz w:val="32"/>
          <w:szCs w:val="32"/>
        </w:rPr>
      </w:pPr>
    </w:p>
    <w:p>
      <w:pPr>
        <w:pStyle w:val="12"/>
        <w:spacing w:line="360" w:lineRule="auto"/>
        <w:outlineLvl w:val="0"/>
        <w:rPr>
          <w:rFonts w:hAnsi="宋体"/>
          <w:b/>
          <w:bCs/>
          <w:sz w:val="32"/>
        </w:rPr>
        <w:sectPr>
          <w:headerReference r:id="rId3" w:type="default"/>
          <w:footerReference r:id="rId4" w:type="default"/>
          <w:pgSz w:w="11906" w:h="16838"/>
          <w:pgMar w:top="930" w:right="1179" w:bottom="38" w:left="1179" w:header="851" w:footer="992" w:gutter="0"/>
          <w:cols w:space="0" w:num="1"/>
          <w:docGrid w:type="lines" w:linePitch="312" w:charSpace="0"/>
        </w:sectPr>
      </w:pPr>
    </w:p>
    <w:p>
      <w:pPr>
        <w:pStyle w:val="12"/>
        <w:spacing w:line="360" w:lineRule="auto"/>
        <w:jc w:val="center"/>
        <w:rPr>
          <w:rFonts w:hAnsi="宋体"/>
          <w:b/>
          <w:bCs/>
          <w:sz w:val="32"/>
        </w:rPr>
      </w:pPr>
      <w:bookmarkStart w:id="0" w:name="_Toc31730"/>
      <w:r>
        <w:rPr>
          <w:rFonts w:hint="eastAsia" w:hAnsi="宋体"/>
          <w:b/>
          <w:bCs/>
          <w:sz w:val="32"/>
        </w:rPr>
        <w:t>目   录</w:t>
      </w:r>
      <w:bookmarkEnd w:id="0"/>
    </w:p>
    <w:sdt>
      <w:sdtPr>
        <w:rPr>
          <w:rFonts w:ascii="宋体" w:hAnsi="宋体"/>
          <w:bCs/>
          <w:sz w:val="21"/>
        </w:rPr>
        <w:id w:val="147477103"/>
      </w:sdtPr>
      <w:sdtEndPr>
        <w:rPr>
          <w:rFonts w:hint="eastAsia" w:ascii="宋体" w:hAnsi="宋体" w:cs="宋体"/>
          <w:bCs/>
          <w:sz w:val="28"/>
          <w:szCs w:val="28"/>
        </w:rPr>
      </w:sdtEndPr>
      <w:sdtContent>
        <w:p>
          <w:pPr>
            <w:jc w:val="center"/>
          </w:pPr>
          <w:bookmarkStart w:id="1" w:name="_Toc185762834"/>
        </w:p>
        <w:p>
          <w:pPr>
            <w:pStyle w:val="17"/>
            <w:tabs>
              <w:tab w:val="right" w:leader="dot" w:pos="9548"/>
            </w:tabs>
            <w:spacing w:line="360" w:lineRule="auto"/>
            <w:rPr>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TOC \o "1-3" \h \u </w:instrText>
          </w:r>
          <w:r>
            <w:rPr>
              <w:rFonts w:hint="eastAsia" w:ascii="宋体" w:hAnsi="宋体" w:cs="宋体"/>
              <w:sz w:val="28"/>
              <w:szCs w:val="28"/>
            </w:rPr>
            <w:fldChar w:fldCharType="separate"/>
          </w:r>
          <w:r>
            <w:fldChar w:fldCharType="begin"/>
          </w:r>
          <w:r>
            <w:instrText xml:space="preserve"> HYPERLINK \l "_Toc1116" </w:instrText>
          </w:r>
          <w:r>
            <w:fldChar w:fldCharType="separate"/>
          </w:r>
          <w:r>
            <w:rPr>
              <w:rFonts w:hint="eastAsia"/>
              <w:sz w:val="24"/>
              <w:szCs w:val="24"/>
            </w:rPr>
            <w:t>第一章  磋商邀请</w:t>
          </w:r>
          <w:r>
            <w:rPr>
              <w:sz w:val="24"/>
              <w:szCs w:val="24"/>
            </w:rPr>
            <w:tab/>
          </w:r>
          <w:r>
            <w:rPr>
              <w:sz w:val="24"/>
              <w:szCs w:val="24"/>
            </w:rPr>
            <w:fldChar w:fldCharType="begin"/>
          </w:r>
          <w:r>
            <w:rPr>
              <w:sz w:val="24"/>
              <w:szCs w:val="24"/>
            </w:rPr>
            <w:instrText xml:space="preserve"> PAGEREF _Toc1116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"_Toc5926" </w:instrText>
          </w:r>
          <w:r>
            <w:fldChar w:fldCharType="separate"/>
          </w:r>
          <w:r>
            <w:rPr>
              <w:rFonts w:hint="eastAsia" w:ascii="宋体" w:hAnsi="宋体"/>
              <w:sz w:val="24"/>
              <w:szCs w:val="24"/>
            </w:rPr>
            <w:t>磋商邀请函</w:t>
          </w:r>
          <w:r>
            <w:rPr>
              <w:sz w:val="24"/>
              <w:szCs w:val="24"/>
            </w:rPr>
            <w:tab/>
          </w:r>
          <w:r>
            <w:rPr>
              <w:sz w:val="24"/>
              <w:szCs w:val="24"/>
            </w:rPr>
            <w:fldChar w:fldCharType="begin"/>
          </w:r>
          <w:r>
            <w:rPr>
              <w:sz w:val="24"/>
              <w:szCs w:val="24"/>
            </w:rPr>
            <w:instrText xml:space="preserve"> PAGEREF _Toc5926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"_Toc28984" </w:instrText>
          </w:r>
          <w:r>
            <w:fldChar w:fldCharType="separate"/>
          </w:r>
          <w:r>
            <w:rPr>
              <w:rFonts w:hint="eastAsia" w:ascii="宋体" w:hAnsi="宋体"/>
              <w:sz w:val="24"/>
              <w:szCs w:val="24"/>
            </w:rPr>
            <w:t>附：项目一览表</w:t>
          </w:r>
          <w:r>
            <w:rPr>
              <w:sz w:val="24"/>
              <w:szCs w:val="24"/>
            </w:rPr>
            <w:tab/>
          </w:r>
          <w:r>
            <w:rPr>
              <w:sz w:val="24"/>
              <w:szCs w:val="24"/>
            </w:rPr>
            <w:fldChar w:fldCharType="begin"/>
          </w:r>
          <w:r>
            <w:rPr>
              <w:sz w:val="24"/>
              <w:szCs w:val="24"/>
            </w:rPr>
            <w:instrText xml:space="preserve"> PAGEREF _Toc28984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7"/>
            <w:tabs>
              <w:tab w:val="right" w:leader="dot" w:pos="9548"/>
            </w:tabs>
            <w:spacing w:line="360" w:lineRule="auto"/>
            <w:rPr>
              <w:sz w:val="24"/>
              <w:szCs w:val="24"/>
            </w:rPr>
          </w:pPr>
          <w:r>
            <w:fldChar w:fldCharType="begin"/>
          </w:r>
          <w:r>
            <w:instrText xml:space="preserve"> HYPERLINK \l "_Toc17566" </w:instrText>
          </w:r>
          <w:r>
            <w:fldChar w:fldCharType="separate"/>
          </w:r>
          <w:r>
            <w:rPr>
              <w:rFonts w:hint="eastAsia"/>
              <w:sz w:val="24"/>
              <w:szCs w:val="24"/>
            </w:rPr>
            <w:t>第二章  磋商响应供应商须知</w:t>
          </w:r>
          <w:r>
            <w:rPr>
              <w:sz w:val="24"/>
              <w:szCs w:val="24"/>
            </w:rPr>
            <w:tab/>
          </w:r>
          <w:r>
            <w:rPr>
              <w:sz w:val="24"/>
              <w:szCs w:val="24"/>
            </w:rPr>
            <w:fldChar w:fldCharType="begin"/>
          </w:r>
          <w:r>
            <w:rPr>
              <w:sz w:val="24"/>
              <w:szCs w:val="24"/>
            </w:rPr>
            <w:instrText xml:space="preserve"> PAGEREF _Toc17566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"_Toc6857" </w:instrText>
          </w:r>
          <w:r>
            <w:fldChar w:fldCharType="separate"/>
          </w:r>
          <w:r>
            <w:rPr>
              <w:rFonts w:hint="eastAsia" w:ascii="宋体" w:hAnsi="宋体"/>
              <w:sz w:val="24"/>
              <w:szCs w:val="24"/>
            </w:rPr>
            <w:t>磋商响应供应商须知前附表</w:t>
          </w:r>
          <w:r>
            <w:rPr>
              <w:sz w:val="24"/>
              <w:szCs w:val="24"/>
            </w:rPr>
            <w:tab/>
          </w:r>
          <w:r>
            <w:rPr>
              <w:sz w:val="24"/>
              <w:szCs w:val="24"/>
            </w:rPr>
            <w:fldChar w:fldCharType="begin"/>
          </w:r>
          <w:r>
            <w:rPr>
              <w:sz w:val="24"/>
              <w:szCs w:val="24"/>
            </w:rPr>
            <w:instrText xml:space="preserve"> PAGEREF _Toc6857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"_Toc1954" </w:instrText>
          </w:r>
          <w:r>
            <w:fldChar w:fldCharType="separate"/>
          </w:r>
          <w:r>
            <w:rPr>
              <w:rFonts w:hint="eastAsia" w:ascii="宋体" w:hAnsi="宋体"/>
              <w:sz w:val="24"/>
              <w:szCs w:val="24"/>
            </w:rPr>
            <w:t>一、说明</w:t>
          </w:r>
          <w:r>
            <w:rPr>
              <w:sz w:val="24"/>
              <w:szCs w:val="24"/>
            </w:rPr>
            <w:tab/>
          </w:r>
          <w:r>
            <w:rPr>
              <w:sz w:val="24"/>
              <w:szCs w:val="24"/>
            </w:rPr>
            <w:fldChar w:fldCharType="begin"/>
          </w:r>
          <w:r>
            <w:rPr>
              <w:sz w:val="24"/>
              <w:szCs w:val="24"/>
            </w:rPr>
            <w:instrText xml:space="preserve"> PAGEREF _Toc1954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"_Toc4542" </w:instrText>
          </w:r>
          <w:r>
            <w:fldChar w:fldCharType="separate"/>
          </w:r>
          <w:r>
            <w:rPr>
              <w:rFonts w:hint="eastAsia" w:ascii="宋体" w:hAnsi="宋体"/>
              <w:sz w:val="24"/>
              <w:szCs w:val="24"/>
            </w:rPr>
            <w:t>二、磋商文件</w:t>
          </w:r>
          <w:r>
            <w:rPr>
              <w:sz w:val="24"/>
              <w:szCs w:val="24"/>
            </w:rPr>
            <w:tab/>
          </w:r>
          <w:r>
            <w:rPr>
              <w:sz w:val="24"/>
              <w:szCs w:val="24"/>
            </w:rPr>
            <w:fldChar w:fldCharType="begin"/>
          </w:r>
          <w:r>
            <w:rPr>
              <w:sz w:val="24"/>
              <w:szCs w:val="24"/>
            </w:rPr>
            <w:instrText xml:space="preserve"> PAGEREF _Toc4542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"_Toc25952" </w:instrText>
          </w:r>
          <w:r>
            <w:fldChar w:fldCharType="separate"/>
          </w:r>
          <w:r>
            <w:rPr>
              <w:rFonts w:hint="eastAsia" w:ascii="宋体" w:hAnsi="宋体"/>
              <w:sz w:val="24"/>
              <w:szCs w:val="24"/>
            </w:rPr>
            <w:t>三、磋商响应文件的编写</w:t>
          </w:r>
          <w:r>
            <w:rPr>
              <w:sz w:val="24"/>
              <w:szCs w:val="24"/>
            </w:rPr>
            <w:tab/>
          </w:r>
          <w:r>
            <w:rPr>
              <w:sz w:val="24"/>
              <w:szCs w:val="24"/>
            </w:rPr>
            <w:fldChar w:fldCharType="begin"/>
          </w:r>
          <w:r>
            <w:rPr>
              <w:sz w:val="24"/>
              <w:szCs w:val="24"/>
            </w:rPr>
            <w:instrText xml:space="preserve"> PAGEREF _Toc25952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"_Toc10438" </w:instrText>
          </w:r>
          <w:r>
            <w:fldChar w:fldCharType="separate"/>
          </w:r>
          <w:r>
            <w:rPr>
              <w:rFonts w:hint="eastAsia" w:ascii="宋体" w:hAnsi="宋体"/>
              <w:sz w:val="24"/>
              <w:szCs w:val="24"/>
            </w:rPr>
            <w:t>四、磋商响应文件的提交</w:t>
          </w:r>
          <w:r>
            <w:rPr>
              <w:sz w:val="24"/>
              <w:szCs w:val="24"/>
            </w:rPr>
            <w:tab/>
          </w:r>
          <w:r>
            <w:rPr>
              <w:sz w:val="24"/>
              <w:szCs w:val="24"/>
            </w:rPr>
            <w:fldChar w:fldCharType="begin"/>
          </w:r>
          <w:r>
            <w:rPr>
              <w:sz w:val="24"/>
              <w:szCs w:val="24"/>
            </w:rPr>
            <w:instrText xml:space="preserve"> PAGEREF _Toc10438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"_Toc10022" </w:instrText>
          </w:r>
          <w:r>
            <w:fldChar w:fldCharType="separate"/>
          </w:r>
          <w:r>
            <w:rPr>
              <w:rFonts w:hint="eastAsia" w:ascii="宋体" w:hAnsi="宋体"/>
              <w:sz w:val="24"/>
              <w:szCs w:val="24"/>
            </w:rPr>
            <w:t>五、磋商响应文件的评估和比较</w:t>
          </w:r>
          <w:r>
            <w:rPr>
              <w:sz w:val="24"/>
              <w:szCs w:val="24"/>
            </w:rPr>
            <w:tab/>
          </w:r>
          <w:r>
            <w:rPr>
              <w:sz w:val="24"/>
              <w:szCs w:val="24"/>
            </w:rPr>
            <w:fldChar w:fldCharType="begin"/>
          </w:r>
          <w:r>
            <w:rPr>
              <w:sz w:val="24"/>
              <w:szCs w:val="24"/>
            </w:rPr>
            <w:instrText xml:space="preserve"> PAGEREF _Toc10022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"_Toc2048" </w:instrText>
          </w:r>
          <w:r>
            <w:fldChar w:fldCharType="separate"/>
          </w:r>
          <w:r>
            <w:rPr>
              <w:rFonts w:hint="eastAsia" w:ascii="宋体" w:hAnsi="宋体"/>
              <w:sz w:val="24"/>
              <w:szCs w:val="24"/>
            </w:rPr>
            <w:t>六、成交与签定合同</w:t>
          </w:r>
          <w:r>
            <w:rPr>
              <w:sz w:val="24"/>
              <w:szCs w:val="24"/>
            </w:rPr>
            <w:tab/>
          </w:r>
          <w:r>
            <w:rPr>
              <w:sz w:val="24"/>
              <w:szCs w:val="24"/>
            </w:rPr>
            <w:fldChar w:fldCharType="begin"/>
          </w:r>
          <w:r>
            <w:rPr>
              <w:sz w:val="24"/>
              <w:szCs w:val="24"/>
            </w:rPr>
            <w:instrText xml:space="preserve"> PAGEREF _Toc2048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"_Toc28786" </w:instrText>
          </w:r>
          <w:r>
            <w:fldChar w:fldCharType="separate"/>
          </w:r>
          <w:r>
            <w:rPr>
              <w:rFonts w:hint="eastAsia" w:ascii="宋体" w:hAnsi="宋体"/>
              <w:sz w:val="24"/>
              <w:szCs w:val="24"/>
            </w:rPr>
            <w:t>七、其他</w:t>
          </w:r>
          <w:r>
            <w:rPr>
              <w:sz w:val="24"/>
              <w:szCs w:val="24"/>
            </w:rPr>
            <w:tab/>
          </w:r>
          <w:r>
            <w:rPr>
              <w:sz w:val="24"/>
              <w:szCs w:val="24"/>
            </w:rPr>
            <w:fldChar w:fldCharType="begin"/>
          </w:r>
          <w:r>
            <w:rPr>
              <w:sz w:val="24"/>
              <w:szCs w:val="24"/>
            </w:rPr>
            <w:instrText xml:space="preserve"> PAGEREF _Toc28786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7"/>
            <w:tabs>
              <w:tab w:val="right" w:leader="dot" w:pos="9548"/>
            </w:tabs>
            <w:spacing w:line="360" w:lineRule="auto"/>
            <w:rPr>
              <w:sz w:val="24"/>
              <w:szCs w:val="24"/>
            </w:rPr>
          </w:pPr>
          <w:r>
            <w:fldChar w:fldCharType="begin"/>
          </w:r>
          <w:r>
            <w:instrText xml:space="preserve"> HYPERLINK \l "_Toc31055" </w:instrText>
          </w:r>
          <w:r>
            <w:fldChar w:fldCharType="separate"/>
          </w:r>
          <w:r>
            <w:rPr>
              <w:rFonts w:hint="eastAsia"/>
              <w:kern w:val="44"/>
              <w:sz w:val="24"/>
              <w:szCs w:val="24"/>
            </w:rPr>
            <w:t>第三章  采购内容及要求</w:t>
          </w:r>
          <w:r>
            <w:rPr>
              <w:sz w:val="24"/>
              <w:szCs w:val="24"/>
            </w:rPr>
            <w:tab/>
          </w:r>
          <w:r>
            <w:rPr>
              <w:sz w:val="24"/>
              <w:szCs w:val="24"/>
            </w:rPr>
            <w:fldChar w:fldCharType="begin"/>
          </w:r>
          <w:r>
            <w:rPr>
              <w:sz w:val="24"/>
              <w:szCs w:val="24"/>
            </w:rPr>
            <w:instrText xml:space="preserve"> PAGEREF _Toc31055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"_Toc11918" </w:instrText>
          </w:r>
          <w:r>
            <w:fldChar w:fldCharType="separate"/>
          </w:r>
          <w:r>
            <w:rPr>
              <w:rFonts w:hint="eastAsia" w:ascii="宋体" w:hAnsi="宋体"/>
              <w:sz w:val="24"/>
              <w:szCs w:val="24"/>
            </w:rPr>
            <w:t>一、项目概况</w:t>
          </w:r>
          <w:r>
            <w:rPr>
              <w:sz w:val="24"/>
              <w:szCs w:val="24"/>
            </w:rPr>
            <w:tab/>
          </w:r>
          <w:r>
            <w:rPr>
              <w:sz w:val="24"/>
              <w:szCs w:val="24"/>
            </w:rPr>
            <w:fldChar w:fldCharType="begin"/>
          </w:r>
          <w:r>
            <w:rPr>
              <w:sz w:val="24"/>
              <w:szCs w:val="24"/>
            </w:rPr>
            <w:instrText xml:space="preserve"> PAGEREF _Toc11918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"_Toc7162" </w:instrText>
          </w:r>
          <w:r>
            <w:fldChar w:fldCharType="separate"/>
          </w:r>
          <w:r>
            <w:rPr>
              <w:rFonts w:hint="eastAsia" w:ascii="宋体" w:hAnsi="宋体"/>
              <w:sz w:val="24"/>
              <w:szCs w:val="24"/>
            </w:rPr>
            <w:t>二、技术和服务要求</w:t>
          </w:r>
          <w:r>
            <w:rPr>
              <w:sz w:val="24"/>
              <w:szCs w:val="24"/>
            </w:rPr>
            <w:tab/>
          </w:r>
          <w:r>
            <w:rPr>
              <w:sz w:val="24"/>
              <w:szCs w:val="24"/>
            </w:rPr>
            <w:fldChar w:fldCharType="begin"/>
          </w:r>
          <w:r>
            <w:rPr>
              <w:sz w:val="24"/>
              <w:szCs w:val="24"/>
            </w:rPr>
            <w:instrText xml:space="preserve"> PAGEREF _Toc7162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"_Toc30250" </w:instrText>
          </w:r>
          <w:r>
            <w:fldChar w:fldCharType="separate"/>
          </w:r>
          <w:r>
            <w:rPr>
              <w:rFonts w:hint="eastAsia" w:ascii="宋体" w:hAnsi="宋体"/>
              <w:sz w:val="24"/>
              <w:szCs w:val="24"/>
            </w:rPr>
            <w:t>三、</w:t>
          </w:r>
          <w:r>
            <w:rPr>
              <w:rFonts w:hint="eastAsia" w:ascii="宋体" w:hAnsi="宋体" w:cs="宋体"/>
              <w:sz w:val="24"/>
              <w:szCs w:val="24"/>
            </w:rPr>
            <w:t>报价及验收要求</w:t>
          </w:r>
          <w:r>
            <w:rPr>
              <w:sz w:val="24"/>
              <w:szCs w:val="24"/>
            </w:rPr>
            <w:tab/>
          </w:r>
          <w:r>
            <w:rPr>
              <w:sz w:val="24"/>
              <w:szCs w:val="24"/>
            </w:rPr>
            <w:fldChar w:fldCharType="begin"/>
          </w:r>
          <w:r>
            <w:rPr>
              <w:sz w:val="24"/>
              <w:szCs w:val="24"/>
            </w:rPr>
            <w:instrText xml:space="preserve"> PAGEREF _Toc30250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"_Toc25201" </w:instrText>
          </w:r>
          <w:r>
            <w:fldChar w:fldCharType="separate"/>
          </w:r>
          <w:r>
            <w:rPr>
              <w:rFonts w:hint="eastAsia" w:ascii="宋体" w:hAnsi="宋体" w:cs="宋体"/>
              <w:sz w:val="24"/>
              <w:szCs w:val="24"/>
            </w:rPr>
            <w:t>四、交货</w:t>
          </w:r>
          <w:r>
            <w:rPr>
              <w:sz w:val="24"/>
              <w:szCs w:val="24"/>
            </w:rPr>
            <w:tab/>
          </w:r>
          <w:r>
            <w:rPr>
              <w:sz w:val="24"/>
              <w:szCs w:val="24"/>
            </w:rPr>
            <w:fldChar w:fldCharType="begin"/>
          </w:r>
          <w:r>
            <w:rPr>
              <w:sz w:val="24"/>
              <w:szCs w:val="24"/>
            </w:rPr>
            <w:instrText xml:space="preserve"> PAGEREF _Toc25201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"_Toc18053" </w:instrText>
          </w:r>
          <w:r>
            <w:fldChar w:fldCharType="separate"/>
          </w:r>
          <w:r>
            <w:rPr>
              <w:rFonts w:hint="eastAsia" w:ascii="宋体" w:hAnsi="宋体" w:cs="宋体"/>
              <w:sz w:val="24"/>
              <w:szCs w:val="24"/>
            </w:rPr>
            <w:t>五、合同签订</w:t>
          </w:r>
          <w:r>
            <w:rPr>
              <w:sz w:val="24"/>
              <w:szCs w:val="24"/>
            </w:rPr>
            <w:tab/>
          </w:r>
          <w:r>
            <w:rPr>
              <w:sz w:val="24"/>
              <w:szCs w:val="24"/>
            </w:rPr>
            <w:fldChar w:fldCharType="begin"/>
          </w:r>
          <w:r>
            <w:rPr>
              <w:sz w:val="24"/>
              <w:szCs w:val="24"/>
            </w:rPr>
            <w:instrText xml:space="preserve"> PAGEREF _Toc18053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"_Toc4925" </w:instrText>
          </w:r>
          <w:r>
            <w:fldChar w:fldCharType="separate"/>
          </w:r>
          <w:r>
            <w:rPr>
              <w:rFonts w:hint="eastAsia" w:ascii="宋体" w:hAnsi="宋体" w:cs="宋体"/>
              <w:sz w:val="24"/>
              <w:szCs w:val="24"/>
            </w:rPr>
            <w:t>六、付款方式</w:t>
          </w:r>
          <w:r>
            <w:rPr>
              <w:sz w:val="24"/>
              <w:szCs w:val="24"/>
            </w:rPr>
            <w:tab/>
          </w:r>
          <w:r>
            <w:rPr>
              <w:sz w:val="24"/>
              <w:szCs w:val="24"/>
            </w:rPr>
            <w:fldChar w:fldCharType="begin"/>
          </w:r>
          <w:r>
            <w:rPr>
              <w:sz w:val="24"/>
              <w:szCs w:val="24"/>
            </w:rPr>
            <w:instrText xml:space="preserve"> PAGEREF _Toc4925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"_Toc10025" </w:instrText>
          </w:r>
          <w:r>
            <w:fldChar w:fldCharType="separate"/>
          </w:r>
          <w:r>
            <w:rPr>
              <w:rFonts w:hint="eastAsia" w:ascii="宋体" w:hAnsi="宋体" w:cs="宋体"/>
              <w:sz w:val="24"/>
              <w:szCs w:val="24"/>
            </w:rPr>
            <w:t>七、售后服务</w:t>
          </w:r>
          <w:r>
            <w:rPr>
              <w:sz w:val="24"/>
              <w:szCs w:val="24"/>
            </w:rPr>
            <w:tab/>
          </w:r>
          <w:r>
            <w:rPr>
              <w:sz w:val="24"/>
              <w:szCs w:val="24"/>
            </w:rPr>
            <w:fldChar w:fldCharType="begin"/>
          </w:r>
          <w:r>
            <w:rPr>
              <w:sz w:val="24"/>
              <w:szCs w:val="24"/>
            </w:rPr>
            <w:instrText xml:space="preserve"> PAGEREF _Toc10025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"_Toc3677" </w:instrText>
          </w:r>
          <w:r>
            <w:fldChar w:fldCharType="separate"/>
          </w:r>
          <w:r>
            <w:rPr>
              <w:rFonts w:hint="eastAsia" w:ascii="宋体" w:hAnsi="宋体" w:cs="宋体"/>
              <w:bCs/>
              <w:sz w:val="24"/>
              <w:szCs w:val="24"/>
            </w:rPr>
            <w:t>八、验收标准</w:t>
          </w:r>
          <w:r>
            <w:rPr>
              <w:sz w:val="24"/>
              <w:szCs w:val="24"/>
            </w:rPr>
            <w:tab/>
          </w:r>
          <w:r>
            <w:rPr>
              <w:sz w:val="24"/>
              <w:szCs w:val="24"/>
            </w:rPr>
            <w:fldChar w:fldCharType="begin"/>
          </w:r>
          <w:r>
            <w:rPr>
              <w:sz w:val="24"/>
              <w:szCs w:val="24"/>
            </w:rPr>
            <w:instrText xml:space="preserve"> PAGEREF _Toc3677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"_Toc25247" </w:instrText>
          </w:r>
          <w:r>
            <w:fldChar w:fldCharType="separate"/>
          </w:r>
          <w:r>
            <w:rPr>
              <w:rFonts w:hint="eastAsia"/>
              <w:lang w:val="en-US" w:eastAsia="zh-CN"/>
            </w:rPr>
            <w:t>九</w:t>
          </w:r>
          <w:r>
            <w:rPr>
              <w:rFonts w:hint="eastAsia" w:ascii="宋体" w:hAnsi="宋体" w:cs="宋体"/>
              <w:sz w:val="24"/>
              <w:szCs w:val="24"/>
            </w:rPr>
            <w:t>、现场踏勘</w:t>
          </w:r>
          <w:r>
            <w:rPr>
              <w:sz w:val="24"/>
              <w:szCs w:val="24"/>
            </w:rPr>
            <w:tab/>
          </w:r>
          <w:r>
            <w:rPr>
              <w:sz w:val="24"/>
              <w:szCs w:val="24"/>
            </w:rPr>
            <w:fldChar w:fldCharType="begin"/>
          </w:r>
          <w:r>
            <w:rPr>
              <w:sz w:val="24"/>
              <w:szCs w:val="24"/>
            </w:rPr>
            <w:instrText xml:space="preserve"> PAGEREF _Toc25247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8"/>
            <w:tabs>
              <w:tab w:val="right" w:leader="dot" w:pos="9548"/>
            </w:tabs>
            <w:spacing w:line="360" w:lineRule="auto"/>
            <w:rPr>
              <w:sz w:val="24"/>
              <w:szCs w:val="24"/>
            </w:rPr>
          </w:pPr>
          <w:r>
            <w:fldChar w:fldCharType="begin"/>
          </w:r>
          <w:r>
            <w:instrText xml:space="preserve"> HYPERLINK \l "_Toc3900" </w:instrText>
          </w:r>
          <w:r>
            <w:fldChar w:fldCharType="separate"/>
          </w:r>
          <w:r>
            <w:rPr>
              <w:rFonts w:hint="eastAsia" w:ascii="宋体" w:hAnsi="宋体"/>
              <w:sz w:val="24"/>
              <w:szCs w:val="24"/>
            </w:rPr>
            <w:t>十、其他事项</w:t>
          </w:r>
          <w:r>
            <w:rPr>
              <w:sz w:val="24"/>
              <w:szCs w:val="24"/>
            </w:rPr>
            <w:tab/>
          </w:r>
          <w:r>
            <w:rPr>
              <w:sz w:val="24"/>
              <w:szCs w:val="24"/>
            </w:rPr>
            <w:fldChar w:fldCharType="begin"/>
          </w:r>
          <w:r>
            <w:rPr>
              <w:sz w:val="24"/>
              <w:szCs w:val="24"/>
            </w:rPr>
            <w:instrText xml:space="preserve"> PAGEREF _Toc3900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7"/>
            <w:tabs>
              <w:tab w:val="right" w:leader="dot" w:pos="9548"/>
            </w:tabs>
            <w:spacing w:line="360" w:lineRule="auto"/>
            <w:rPr>
              <w:sz w:val="24"/>
              <w:szCs w:val="24"/>
            </w:rPr>
          </w:pPr>
          <w:r>
            <w:fldChar w:fldCharType="begin"/>
          </w:r>
          <w:r>
            <w:instrText xml:space="preserve"> HYPERLINK \l "_Toc23227" </w:instrText>
          </w:r>
          <w:r>
            <w:fldChar w:fldCharType="separate"/>
          </w:r>
          <w:r>
            <w:rPr>
              <w:rFonts w:hint="eastAsia"/>
              <w:kern w:val="44"/>
              <w:sz w:val="24"/>
              <w:szCs w:val="24"/>
            </w:rPr>
            <w:t>第四章  采购合同（参考文本）</w:t>
          </w:r>
          <w:r>
            <w:rPr>
              <w:sz w:val="24"/>
              <w:szCs w:val="24"/>
            </w:rPr>
            <w:tab/>
          </w:r>
          <w:r>
            <w:rPr>
              <w:sz w:val="24"/>
              <w:szCs w:val="24"/>
            </w:rPr>
            <w:fldChar w:fldCharType="begin"/>
          </w:r>
          <w:r>
            <w:rPr>
              <w:sz w:val="24"/>
              <w:szCs w:val="24"/>
            </w:rPr>
            <w:instrText xml:space="preserve"> PAGEREF _Toc23227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7"/>
            <w:tabs>
              <w:tab w:val="right" w:leader="dot" w:pos="9548"/>
            </w:tabs>
            <w:spacing w:line="360" w:lineRule="auto"/>
            <w:rPr>
              <w:sz w:val="28"/>
              <w:szCs w:val="28"/>
            </w:rPr>
          </w:pPr>
          <w:r>
            <w:fldChar w:fldCharType="begin"/>
          </w:r>
          <w:r>
            <w:instrText xml:space="preserve"> HYPERLINK \l "_Toc29615" </w:instrText>
          </w:r>
          <w:r>
            <w:fldChar w:fldCharType="separate"/>
          </w:r>
          <w:r>
            <w:rPr>
              <w:rFonts w:hint="eastAsia"/>
              <w:sz w:val="24"/>
              <w:szCs w:val="24"/>
            </w:rPr>
            <w:t>第五章  磋商响应文件格式</w:t>
          </w:r>
          <w:r>
            <w:rPr>
              <w:sz w:val="24"/>
              <w:szCs w:val="24"/>
            </w:rPr>
            <w:tab/>
          </w:r>
          <w:r>
            <w:rPr>
              <w:sz w:val="24"/>
              <w:szCs w:val="24"/>
            </w:rPr>
            <w:fldChar w:fldCharType="begin"/>
          </w:r>
          <w:r>
            <w:rPr>
              <w:sz w:val="24"/>
              <w:szCs w:val="24"/>
            </w:rPr>
            <w:instrText xml:space="preserve"> PAGEREF _Toc29615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17"/>
            <w:tabs>
              <w:tab w:val="right" w:leader="dot" w:pos="9185"/>
            </w:tabs>
            <w:rPr>
              <w:rFonts w:ascii="宋体" w:hAnsi="宋体" w:cs="宋体"/>
              <w:sz w:val="28"/>
              <w:szCs w:val="28"/>
            </w:rPr>
          </w:pPr>
          <w:r>
            <w:rPr>
              <w:rFonts w:hint="eastAsia" w:ascii="宋体" w:hAnsi="宋体" w:cs="宋体"/>
              <w:sz w:val="28"/>
              <w:szCs w:val="28"/>
            </w:rPr>
            <w:fldChar w:fldCharType="end"/>
          </w:r>
        </w:p>
      </w:sdtContent>
    </w:sdt>
    <w:p>
      <w:pPr>
        <w:pStyle w:val="6"/>
        <w:spacing w:line="276" w:lineRule="auto"/>
        <w:jc w:val="center"/>
        <w:rPr>
          <w:rFonts w:ascii="宋体" w:hAnsi="宋体" w:cs="宋体"/>
          <w:sz w:val="28"/>
          <w:szCs w:val="28"/>
        </w:rPr>
        <w:sectPr>
          <w:footerReference r:id="rId5" w:type="default"/>
          <w:pgSz w:w="11906" w:h="16838"/>
          <w:pgMar w:top="930" w:right="1179" w:bottom="38" w:left="1179" w:header="851" w:footer="992" w:gutter="0"/>
          <w:pgNumType w:start="1"/>
          <w:cols w:space="0" w:num="1"/>
          <w:docGrid w:type="lines" w:linePitch="312" w:charSpace="0"/>
        </w:sectPr>
      </w:pPr>
    </w:p>
    <w:p>
      <w:pPr>
        <w:pStyle w:val="6"/>
        <w:spacing w:line="276" w:lineRule="auto"/>
        <w:jc w:val="center"/>
        <w:rPr>
          <w:sz w:val="36"/>
          <w:szCs w:val="36"/>
        </w:rPr>
      </w:pPr>
      <w:bookmarkStart w:id="2" w:name="_Toc31094"/>
      <w:bookmarkStart w:id="3" w:name="_Toc1116"/>
      <w:r>
        <w:rPr>
          <w:rFonts w:hint="eastAsia"/>
          <w:sz w:val="36"/>
          <w:szCs w:val="36"/>
        </w:rPr>
        <w:t>第一章  磋商邀请</w:t>
      </w:r>
      <w:bookmarkEnd w:id="1"/>
      <w:bookmarkEnd w:id="2"/>
      <w:bookmarkEnd w:id="3"/>
    </w:p>
    <w:p>
      <w:pPr>
        <w:pStyle w:val="7"/>
        <w:spacing w:line="240" w:lineRule="auto"/>
        <w:jc w:val="center"/>
        <w:rPr>
          <w:rFonts w:ascii="宋体" w:hAnsi="宋体" w:eastAsia="宋体"/>
        </w:rPr>
      </w:pPr>
      <w:bookmarkStart w:id="4" w:name="_Toc185762835"/>
      <w:bookmarkStart w:id="5" w:name="_Toc5926"/>
      <w:bookmarkStart w:id="6" w:name="_Toc21027"/>
      <w:r>
        <w:rPr>
          <w:rFonts w:hint="eastAsia" w:ascii="宋体" w:hAnsi="宋体" w:eastAsia="宋体"/>
        </w:rPr>
        <w:t>磋商邀请函</w:t>
      </w:r>
      <w:bookmarkEnd w:id="4"/>
      <w:bookmarkEnd w:id="5"/>
      <w:bookmarkEnd w:id="6"/>
    </w:p>
    <w:p>
      <w:pPr>
        <w:spacing w:line="440" w:lineRule="exact"/>
        <w:rPr>
          <w:rFonts w:ascii="宋体" w:hAnsi="宋体"/>
          <w:sz w:val="21"/>
          <w:szCs w:val="21"/>
        </w:rPr>
      </w:pPr>
      <w:r>
        <w:rPr>
          <w:rFonts w:hint="eastAsia" w:ascii="宋体" w:hAnsi="宋体"/>
          <w:sz w:val="21"/>
          <w:szCs w:val="21"/>
        </w:rPr>
        <w:t xml:space="preserve">受 </w:t>
      </w:r>
      <w:r>
        <w:rPr>
          <w:rFonts w:hint="eastAsia" w:ascii="宋体" w:hAnsi="宋体"/>
          <w:sz w:val="21"/>
          <w:szCs w:val="21"/>
          <w:u w:val="single"/>
        </w:rPr>
        <w:t xml:space="preserve">厦门市社会福利中心 </w:t>
      </w:r>
      <w:r>
        <w:rPr>
          <w:rFonts w:hint="eastAsia" w:ascii="宋体" w:hAnsi="宋体"/>
          <w:sz w:val="21"/>
          <w:szCs w:val="21"/>
        </w:rPr>
        <w:t xml:space="preserve">委托，福建精磊信工程管理有限公司以 </w:t>
      </w:r>
      <w:r>
        <w:rPr>
          <w:rFonts w:hint="eastAsia" w:ascii="宋体" w:hAnsi="宋体"/>
          <w:sz w:val="21"/>
          <w:szCs w:val="21"/>
          <w:u w:val="single"/>
        </w:rPr>
        <w:t xml:space="preserve">竞争性磋商 </w:t>
      </w:r>
      <w:r>
        <w:rPr>
          <w:rFonts w:hint="eastAsia" w:ascii="宋体" w:hAnsi="宋体"/>
          <w:sz w:val="21"/>
          <w:szCs w:val="21"/>
        </w:rPr>
        <w:t xml:space="preserve">方式对 </w:t>
      </w:r>
      <w:r>
        <w:rPr>
          <w:rFonts w:hint="eastAsia" w:ascii="宋体" w:hAnsi="宋体"/>
          <w:sz w:val="21"/>
          <w:szCs w:val="21"/>
          <w:u w:val="single"/>
        </w:rPr>
        <w:t xml:space="preserve">消防设施维修更换 </w:t>
      </w:r>
      <w:r>
        <w:rPr>
          <w:rFonts w:hint="eastAsia" w:ascii="宋体" w:hAnsi="宋体"/>
          <w:sz w:val="21"/>
          <w:szCs w:val="21"/>
        </w:rPr>
        <w:t>进行采购，欢迎合格供应商前来提交密封的磋商响应文件。</w:t>
      </w:r>
    </w:p>
    <w:p>
      <w:pPr>
        <w:numPr>
          <w:ilvl w:val="0"/>
          <w:numId w:val="2"/>
        </w:numPr>
        <w:spacing w:line="440" w:lineRule="exact"/>
        <w:ind w:firstLine="367" w:firstLineChars="175"/>
        <w:rPr>
          <w:rFonts w:ascii="宋体" w:hAnsi="宋体"/>
          <w:sz w:val="21"/>
          <w:szCs w:val="21"/>
        </w:rPr>
      </w:pPr>
      <w:r>
        <w:rPr>
          <w:rFonts w:hint="eastAsia" w:ascii="宋体" w:hAnsi="宋体"/>
          <w:sz w:val="21"/>
          <w:szCs w:val="21"/>
        </w:rPr>
        <w:t>项目编号：JLX2021-001</w:t>
      </w:r>
    </w:p>
    <w:p>
      <w:pPr>
        <w:numPr>
          <w:ilvl w:val="0"/>
          <w:numId w:val="2"/>
        </w:numPr>
        <w:spacing w:line="440" w:lineRule="exact"/>
        <w:ind w:firstLine="367" w:firstLineChars="175"/>
        <w:rPr>
          <w:rFonts w:ascii="宋体" w:hAnsi="宋体"/>
          <w:sz w:val="21"/>
          <w:szCs w:val="21"/>
        </w:rPr>
      </w:pPr>
      <w:r>
        <w:rPr>
          <w:rFonts w:hint="eastAsia" w:ascii="宋体" w:hAnsi="宋体"/>
          <w:sz w:val="21"/>
          <w:szCs w:val="21"/>
        </w:rPr>
        <w:t>项目名称、数量及主要技术要求：见项目一览表。</w:t>
      </w:r>
    </w:p>
    <w:p>
      <w:pPr>
        <w:numPr>
          <w:ilvl w:val="0"/>
          <w:numId w:val="2"/>
        </w:numPr>
        <w:spacing w:line="360" w:lineRule="auto"/>
        <w:ind w:firstLine="367" w:firstLineChars="175"/>
        <w:rPr>
          <w:rFonts w:ascii="宋体" w:hAnsi="宋体"/>
          <w:sz w:val="21"/>
          <w:szCs w:val="21"/>
        </w:rPr>
      </w:pPr>
      <w:r>
        <w:rPr>
          <w:rFonts w:hint="eastAsia" w:ascii="宋体" w:hAnsi="宋体"/>
          <w:sz w:val="21"/>
          <w:szCs w:val="21"/>
        </w:rPr>
        <w:t>磋商文件购买时间2021年04月</w:t>
      </w:r>
      <w:r>
        <w:rPr>
          <w:rFonts w:hint="eastAsia" w:ascii="宋体" w:hAnsi="宋体"/>
          <w:sz w:val="21"/>
          <w:szCs w:val="21"/>
          <w:lang w:val="en-US" w:eastAsia="zh-CN"/>
        </w:rPr>
        <w:t>26</w:t>
      </w:r>
      <w:r>
        <w:rPr>
          <w:rFonts w:hint="eastAsia" w:ascii="宋体" w:hAnsi="宋体"/>
          <w:sz w:val="21"/>
          <w:szCs w:val="21"/>
        </w:rPr>
        <w:t>日至2021年04月</w:t>
      </w:r>
      <w:r>
        <w:rPr>
          <w:rFonts w:hint="eastAsia" w:ascii="宋体" w:hAnsi="宋体"/>
          <w:sz w:val="21"/>
          <w:szCs w:val="21"/>
          <w:lang w:val="en-US" w:eastAsia="zh-CN"/>
        </w:rPr>
        <w:t>30</w:t>
      </w:r>
      <w:r>
        <w:rPr>
          <w:rFonts w:hint="eastAsia" w:ascii="宋体" w:hAnsi="宋体"/>
          <w:sz w:val="21"/>
          <w:szCs w:val="21"/>
        </w:rPr>
        <w:t>日，每天上午00:00:00至12:00:00，下午12:00:00至23:59:59（北京时间,法定节假日除外），磋商文件查阅和购买地点：登录招拍挂资源市场化配置交易平台（https://www.xmzpg.com/）申请账号并下载招标文件（对平台操作有任何疑问，前往平台网站→下载中心→供应商操作手册，平台客服电话：0592-2070077）。</w:t>
      </w:r>
    </w:p>
    <w:p>
      <w:pPr>
        <w:numPr>
          <w:ilvl w:val="0"/>
          <w:numId w:val="2"/>
        </w:numPr>
        <w:spacing w:line="360" w:lineRule="auto"/>
        <w:ind w:firstLine="367" w:firstLineChars="175"/>
        <w:rPr>
          <w:rFonts w:ascii="宋体" w:hAnsi="宋体"/>
          <w:sz w:val="21"/>
          <w:szCs w:val="21"/>
        </w:rPr>
      </w:pPr>
      <w:r>
        <w:rPr>
          <w:rFonts w:hint="eastAsia" w:ascii="宋体" w:hAnsi="宋体"/>
          <w:sz w:val="21"/>
          <w:szCs w:val="21"/>
        </w:rPr>
        <w:t>所有磋商响应文件应于2021</w:t>
      </w:r>
      <w:r>
        <w:rPr>
          <w:rFonts w:ascii="宋体" w:hAnsi="宋体"/>
          <w:sz w:val="21"/>
          <w:szCs w:val="21"/>
        </w:rPr>
        <w:t>年</w:t>
      </w:r>
      <w:r>
        <w:rPr>
          <w:rFonts w:hint="eastAsia" w:ascii="宋体" w:hAnsi="宋体"/>
          <w:sz w:val="21"/>
          <w:szCs w:val="21"/>
        </w:rPr>
        <w:t>0</w:t>
      </w:r>
      <w:r>
        <w:rPr>
          <w:rFonts w:hint="eastAsia" w:ascii="宋体" w:hAnsi="宋体"/>
          <w:sz w:val="21"/>
          <w:szCs w:val="21"/>
          <w:lang w:val="en-US" w:eastAsia="zh-CN"/>
        </w:rPr>
        <w:t>5</w:t>
      </w:r>
      <w:r>
        <w:rPr>
          <w:rFonts w:ascii="宋体" w:hAnsi="宋体"/>
          <w:sz w:val="21"/>
          <w:szCs w:val="21"/>
        </w:rPr>
        <w:t>月</w:t>
      </w:r>
      <w:r>
        <w:rPr>
          <w:rFonts w:hint="eastAsia" w:ascii="宋体" w:hAnsi="宋体"/>
          <w:sz w:val="21"/>
          <w:szCs w:val="21"/>
          <w:lang w:val="en-US" w:eastAsia="zh-CN"/>
        </w:rPr>
        <w:t>0</w:t>
      </w:r>
      <w:r>
        <w:rPr>
          <w:rFonts w:hint="eastAsia" w:ascii="宋体" w:hAnsi="宋体"/>
          <w:sz w:val="21"/>
          <w:szCs w:val="21"/>
          <w:highlight w:val="yellow"/>
          <w:lang w:val="en-US" w:eastAsia="zh-CN"/>
        </w:rPr>
        <w:t>6</w:t>
      </w:r>
      <w:r>
        <w:rPr>
          <w:rFonts w:ascii="宋体" w:hAnsi="宋体"/>
          <w:sz w:val="21"/>
          <w:szCs w:val="21"/>
        </w:rPr>
        <w:t>日</w:t>
      </w:r>
      <w:r>
        <w:rPr>
          <w:rFonts w:hint="eastAsia" w:ascii="宋体" w:hAnsi="宋体"/>
          <w:sz w:val="21"/>
          <w:szCs w:val="21"/>
          <w:lang w:val="en-US" w:eastAsia="zh-CN"/>
        </w:rPr>
        <w:t>下</w:t>
      </w:r>
      <w:r>
        <w:rPr>
          <w:rFonts w:hint="eastAsia" w:ascii="宋体" w:hAnsi="宋体"/>
          <w:sz w:val="21"/>
          <w:szCs w:val="21"/>
        </w:rPr>
        <w:t>午</w:t>
      </w:r>
      <w:r>
        <w:rPr>
          <w:rFonts w:hint="eastAsia" w:ascii="宋体" w:hAnsi="宋体"/>
          <w:sz w:val="21"/>
          <w:szCs w:val="21"/>
          <w:lang w:val="en-US" w:eastAsia="zh-CN"/>
        </w:rPr>
        <w:t>14</w:t>
      </w:r>
      <w:r>
        <w:rPr>
          <w:rFonts w:hint="eastAsia" w:ascii="宋体" w:hAnsi="宋体"/>
          <w:sz w:val="21"/>
          <w:szCs w:val="21"/>
        </w:rPr>
        <w:t>：30</w:t>
      </w:r>
      <w:r>
        <w:rPr>
          <w:rFonts w:ascii="宋体" w:hAnsi="宋体"/>
          <w:sz w:val="21"/>
          <w:szCs w:val="21"/>
        </w:rPr>
        <w:t>时</w:t>
      </w:r>
      <w:r>
        <w:rPr>
          <w:rFonts w:hint="eastAsia" w:ascii="宋体" w:hAnsi="宋体"/>
          <w:sz w:val="21"/>
          <w:szCs w:val="21"/>
        </w:rPr>
        <w:t>（北京时间）之前</w:t>
      </w:r>
      <w:r>
        <w:rPr>
          <w:rFonts w:ascii="宋体" w:hAnsi="宋体"/>
          <w:sz w:val="21"/>
          <w:szCs w:val="21"/>
        </w:rPr>
        <w:t>递交到</w:t>
      </w:r>
      <w:r>
        <w:rPr>
          <w:rFonts w:hint="eastAsia" w:ascii="宋体" w:hAnsi="宋体"/>
          <w:sz w:val="21"/>
          <w:szCs w:val="21"/>
        </w:rPr>
        <w:t>（厦门市思明区莲岳路221-1号公交大厦1号楼6楼开标厅）。磋商地点：（厦门市思明区莲岳路221-1号公交大厦1号楼6楼开标厅）。</w:t>
      </w:r>
    </w:p>
    <w:p>
      <w:pPr>
        <w:spacing w:line="360" w:lineRule="auto"/>
        <w:ind w:firstLine="367" w:firstLineChars="175"/>
        <w:rPr>
          <w:rFonts w:ascii="宋体" w:hAnsi="宋体"/>
          <w:sz w:val="21"/>
          <w:szCs w:val="21"/>
        </w:rPr>
      </w:pPr>
      <w:r>
        <w:rPr>
          <w:rFonts w:hint="eastAsia" w:ascii="宋体" w:hAnsi="宋体"/>
          <w:sz w:val="21"/>
          <w:szCs w:val="21"/>
        </w:rPr>
        <w:t>5. 磋商响应供应商对本次磋商活动事项提出疑问的，（可到招拍挂前台领取）以书面的形式与招标代理机构联系。</w:t>
      </w:r>
    </w:p>
    <w:p>
      <w:pPr>
        <w:spacing w:beforeLines="50"/>
        <w:ind w:firstLine="420" w:firstLineChars="200"/>
        <w:rPr>
          <w:rFonts w:ascii="宋体" w:hAnsi="宋体"/>
          <w:sz w:val="21"/>
          <w:szCs w:val="21"/>
        </w:rPr>
      </w:pPr>
      <w:r>
        <w:rPr>
          <w:rFonts w:hint="eastAsia" w:ascii="宋体" w:hAnsi="宋体"/>
          <w:sz w:val="21"/>
          <w:szCs w:val="21"/>
        </w:rPr>
        <w:t>6</w:t>
      </w:r>
      <w:r>
        <w:rPr>
          <w:rFonts w:ascii="宋体" w:hAnsi="宋体"/>
          <w:sz w:val="21"/>
          <w:szCs w:val="21"/>
        </w:rPr>
        <w:t>. 以上信息或本项目的其它内容如有变更，招标代理构将</w:t>
      </w:r>
      <w:r>
        <w:rPr>
          <w:rFonts w:hint="eastAsia" w:ascii="宋体" w:hAnsi="宋体"/>
          <w:sz w:val="21"/>
          <w:szCs w:val="21"/>
        </w:rPr>
        <w:t>通过厦门市招拍挂交易网（http://www.xmzyjy.com）中国政府采购网（http://www.ccgp.gov.cn/）等信息发布媒体通知，请供应商关注。</w:t>
      </w:r>
    </w:p>
    <w:p>
      <w:pPr>
        <w:spacing w:beforeLines="50"/>
        <w:ind w:firstLine="420" w:firstLineChars="200"/>
        <w:rPr>
          <w:rFonts w:ascii="宋体" w:hAnsi="宋体"/>
          <w:sz w:val="21"/>
          <w:szCs w:val="21"/>
        </w:rPr>
      </w:pPr>
      <w:r>
        <w:rPr>
          <w:rFonts w:hint="eastAsia" w:ascii="宋体" w:hAnsi="宋体"/>
          <w:sz w:val="21"/>
          <w:szCs w:val="21"/>
        </w:rPr>
        <w:t>7</w:t>
      </w:r>
      <w:r>
        <w:rPr>
          <w:rFonts w:hint="eastAsia" w:ascii="宋体" w:hAnsi="宋体"/>
          <w:sz w:val="21"/>
          <w:szCs w:val="21"/>
          <w:lang w:val="en-US" w:eastAsia="zh-CN"/>
        </w:rPr>
        <w:t>.</w:t>
      </w:r>
      <w:r>
        <w:rPr>
          <w:rFonts w:hint="eastAsia" w:ascii="宋体" w:hAnsi="宋体"/>
          <w:sz w:val="21"/>
          <w:szCs w:val="21"/>
        </w:rPr>
        <w:t>交通拥堵，递交磋商文件和参加磋商请提前做好准备。</w:t>
      </w:r>
    </w:p>
    <w:p>
      <w:pPr>
        <w:spacing w:beforeLines="50"/>
        <w:ind w:firstLine="420" w:firstLineChars="200"/>
        <w:rPr>
          <w:rFonts w:ascii="宋体" w:hAnsi="宋体"/>
          <w:sz w:val="21"/>
          <w:szCs w:val="21"/>
        </w:rPr>
      </w:pPr>
      <w:r>
        <w:rPr>
          <w:rFonts w:hint="eastAsia" w:ascii="宋体" w:hAnsi="宋体"/>
          <w:sz w:val="21"/>
          <w:szCs w:val="21"/>
        </w:rPr>
        <w:t>招标代理机构：福建精磊信工程管理有限公司</w:t>
      </w:r>
    </w:p>
    <w:p>
      <w:pPr>
        <w:spacing w:beforeLines="50"/>
        <w:ind w:firstLine="420" w:firstLineChars="200"/>
        <w:rPr>
          <w:rFonts w:ascii="宋体" w:hAnsi="宋体"/>
          <w:sz w:val="21"/>
          <w:szCs w:val="21"/>
        </w:rPr>
      </w:pPr>
      <w:r>
        <w:rPr>
          <w:rFonts w:hint="eastAsia" w:ascii="宋体" w:hAnsi="宋体"/>
          <w:sz w:val="21"/>
          <w:szCs w:val="21"/>
        </w:rPr>
        <w:t>联系人：邱先生     电话：</w:t>
      </w:r>
      <w:bookmarkStart w:id="7" w:name="_Toc185762837"/>
      <w:bookmarkStart w:id="8" w:name="_Toc29934"/>
      <w:r>
        <w:rPr>
          <w:rFonts w:hint="eastAsia" w:ascii="宋体" w:hAnsi="宋体"/>
          <w:sz w:val="21"/>
          <w:szCs w:val="21"/>
        </w:rPr>
        <w:t>15205015641</w:t>
      </w:r>
    </w:p>
    <w:p>
      <w:pPr>
        <w:spacing w:beforeLines="50"/>
        <w:ind w:firstLine="420" w:firstLineChars="200"/>
        <w:rPr>
          <w:rFonts w:ascii="宋体" w:hAnsi="宋体"/>
          <w:sz w:val="21"/>
          <w:szCs w:val="21"/>
        </w:rPr>
      </w:pPr>
      <w:r>
        <w:rPr>
          <w:rFonts w:hint="eastAsia" w:ascii="宋体" w:hAnsi="宋体"/>
          <w:sz w:val="21"/>
          <w:szCs w:val="21"/>
        </w:rPr>
        <w:t>8</w:t>
      </w:r>
      <w:r>
        <w:rPr>
          <w:rFonts w:hint="eastAsia" w:ascii="宋体" w:hAnsi="宋体"/>
          <w:sz w:val="21"/>
          <w:szCs w:val="21"/>
          <w:lang w:val="en-US" w:eastAsia="zh-CN"/>
        </w:rPr>
        <w:t>.</w:t>
      </w:r>
      <w:r>
        <w:rPr>
          <w:rFonts w:hint="eastAsia" w:ascii="宋体" w:hAnsi="宋体"/>
          <w:sz w:val="21"/>
          <w:szCs w:val="21"/>
        </w:rPr>
        <w:t>银行账户信息</w:t>
      </w:r>
    </w:p>
    <w:tbl>
      <w:tblPr>
        <w:tblStyle w:val="24"/>
        <w:tblW w:w="9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1"/>
        <w:gridCol w:w="2876"/>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2981" w:type="dxa"/>
            <w:tcBorders>
              <w:tl2br w:val="single" w:color="auto" w:sz="4" w:space="0"/>
            </w:tcBorders>
          </w:tcPr>
          <w:p>
            <w:pPr>
              <w:spacing w:beforeLines="50"/>
              <w:ind w:firstLine="420" w:firstLineChars="200"/>
              <w:rPr>
                <w:rFonts w:ascii="宋体" w:hAnsi="宋体"/>
                <w:sz w:val="21"/>
                <w:szCs w:val="21"/>
              </w:rPr>
            </w:pPr>
            <w:r>
              <w:rPr>
                <w:rFonts w:hint="eastAsia" w:ascii="宋体" w:hAnsi="宋体"/>
                <w:sz w:val="21"/>
                <w:szCs w:val="21"/>
              </w:rPr>
              <w:t xml:space="preserve">          账户类别</w:t>
            </w:r>
          </w:p>
          <w:p>
            <w:pPr>
              <w:spacing w:beforeLines="50"/>
              <w:ind w:firstLine="420" w:firstLineChars="200"/>
              <w:rPr>
                <w:rFonts w:ascii="宋体" w:hAnsi="宋体"/>
                <w:sz w:val="21"/>
                <w:szCs w:val="21"/>
              </w:rPr>
            </w:pPr>
            <w:r>
              <w:rPr>
                <w:rFonts w:hint="eastAsia" w:ascii="宋体" w:hAnsi="宋体"/>
                <w:sz w:val="21"/>
                <w:szCs w:val="21"/>
              </w:rPr>
              <w:t>账户信息</w:t>
            </w:r>
          </w:p>
        </w:tc>
        <w:tc>
          <w:tcPr>
            <w:tcW w:w="2876" w:type="dxa"/>
            <w:vAlign w:val="center"/>
          </w:tcPr>
          <w:p>
            <w:pPr>
              <w:spacing w:beforeLines="50"/>
              <w:ind w:firstLine="420" w:firstLineChars="200"/>
              <w:jc w:val="center"/>
              <w:rPr>
                <w:rFonts w:ascii="宋体" w:hAnsi="宋体"/>
                <w:sz w:val="21"/>
                <w:szCs w:val="21"/>
              </w:rPr>
            </w:pPr>
            <w:r>
              <w:rPr>
                <w:rFonts w:hint="eastAsia" w:ascii="宋体" w:hAnsi="宋体"/>
                <w:sz w:val="21"/>
                <w:szCs w:val="21"/>
              </w:rPr>
              <w:t>磋商保证金</w:t>
            </w:r>
          </w:p>
        </w:tc>
        <w:tc>
          <w:tcPr>
            <w:tcW w:w="3506" w:type="dxa"/>
            <w:vAlign w:val="center"/>
          </w:tcPr>
          <w:p>
            <w:pPr>
              <w:spacing w:beforeLines="50"/>
              <w:ind w:firstLine="420" w:firstLineChars="200"/>
              <w:jc w:val="center"/>
              <w:rPr>
                <w:rFonts w:ascii="宋体" w:hAnsi="宋体"/>
                <w:sz w:val="21"/>
                <w:szCs w:val="21"/>
              </w:rPr>
            </w:pPr>
            <w:r>
              <w:rPr>
                <w:rFonts w:hint="eastAsia" w:ascii="宋体" w:hAnsi="宋体"/>
                <w:sz w:val="21"/>
                <w:szCs w:val="21"/>
              </w:rPr>
              <w:t>采购代理服务费及磋商文件费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81" w:type="dxa"/>
            <w:vAlign w:val="center"/>
          </w:tcPr>
          <w:p>
            <w:pPr>
              <w:spacing w:beforeLines="50"/>
              <w:ind w:firstLine="420" w:firstLineChars="200"/>
              <w:jc w:val="center"/>
              <w:rPr>
                <w:rFonts w:ascii="宋体" w:hAnsi="宋体"/>
                <w:sz w:val="21"/>
                <w:szCs w:val="21"/>
              </w:rPr>
            </w:pPr>
            <w:r>
              <w:rPr>
                <w:rFonts w:hint="eastAsia" w:ascii="宋体" w:hAnsi="宋体"/>
                <w:sz w:val="21"/>
                <w:szCs w:val="21"/>
              </w:rPr>
              <w:t>开户银行</w:t>
            </w:r>
          </w:p>
        </w:tc>
        <w:tc>
          <w:tcPr>
            <w:tcW w:w="2876" w:type="dxa"/>
            <w:vAlign w:val="center"/>
          </w:tcPr>
          <w:p>
            <w:pPr>
              <w:spacing w:beforeLines="50"/>
              <w:ind w:firstLine="420" w:firstLineChars="200"/>
              <w:jc w:val="center"/>
              <w:rPr>
                <w:rFonts w:ascii="宋体" w:hAnsi="宋体"/>
                <w:sz w:val="21"/>
                <w:szCs w:val="21"/>
              </w:rPr>
            </w:pPr>
            <w:r>
              <w:rPr>
                <w:rFonts w:hint="eastAsia" w:ascii="宋体" w:hAnsi="宋体"/>
                <w:sz w:val="21"/>
                <w:szCs w:val="21"/>
              </w:rPr>
              <w:t>民生银行厦门集美支行</w:t>
            </w:r>
          </w:p>
        </w:tc>
        <w:tc>
          <w:tcPr>
            <w:tcW w:w="3506" w:type="dxa"/>
            <w:vAlign w:val="center"/>
          </w:tcPr>
          <w:p>
            <w:pPr>
              <w:spacing w:beforeLines="50"/>
              <w:ind w:firstLine="420" w:firstLineChars="200"/>
              <w:jc w:val="center"/>
              <w:rPr>
                <w:rFonts w:ascii="宋体" w:hAnsi="宋体"/>
                <w:sz w:val="21"/>
                <w:szCs w:val="21"/>
              </w:rPr>
            </w:pPr>
            <w:r>
              <w:rPr>
                <w:rFonts w:hint="eastAsia" w:ascii="宋体" w:hAnsi="宋体"/>
                <w:sz w:val="21"/>
                <w:szCs w:val="21"/>
              </w:rPr>
              <w:t>民生银行厦门集美支行</w:t>
            </w:r>
          </w:p>
        </w:tc>
      </w:tr>
      <w:tr>
        <w:tblPrEx>
          <w:tblLayout w:type="fixed"/>
          <w:tblCellMar>
            <w:top w:w="0" w:type="dxa"/>
            <w:left w:w="108" w:type="dxa"/>
            <w:bottom w:w="0" w:type="dxa"/>
            <w:right w:w="108" w:type="dxa"/>
          </w:tblCellMar>
        </w:tblPrEx>
        <w:trPr>
          <w:trHeight w:val="567" w:hRule="exact"/>
          <w:jc w:val="center"/>
        </w:trPr>
        <w:tc>
          <w:tcPr>
            <w:tcW w:w="2981" w:type="dxa"/>
            <w:vAlign w:val="center"/>
          </w:tcPr>
          <w:p>
            <w:pPr>
              <w:spacing w:beforeLines="50"/>
              <w:ind w:firstLine="420" w:firstLineChars="200"/>
              <w:jc w:val="center"/>
              <w:rPr>
                <w:rFonts w:ascii="宋体" w:hAnsi="宋体"/>
                <w:sz w:val="21"/>
                <w:szCs w:val="21"/>
              </w:rPr>
            </w:pPr>
            <w:r>
              <w:rPr>
                <w:rFonts w:hint="eastAsia" w:ascii="宋体" w:hAnsi="宋体"/>
                <w:sz w:val="21"/>
                <w:szCs w:val="21"/>
              </w:rPr>
              <w:t>银行账号</w:t>
            </w:r>
          </w:p>
        </w:tc>
        <w:tc>
          <w:tcPr>
            <w:tcW w:w="2876" w:type="dxa"/>
            <w:vAlign w:val="center"/>
          </w:tcPr>
          <w:p>
            <w:pPr>
              <w:spacing w:beforeLines="50"/>
              <w:ind w:firstLine="420" w:firstLineChars="200"/>
              <w:jc w:val="center"/>
              <w:rPr>
                <w:rFonts w:ascii="宋体" w:hAnsi="宋体"/>
                <w:sz w:val="21"/>
                <w:szCs w:val="21"/>
              </w:rPr>
            </w:pPr>
            <w:r>
              <w:rPr>
                <w:rFonts w:hint="eastAsia" w:ascii="宋体" w:hAnsi="宋体"/>
                <w:sz w:val="21"/>
                <w:szCs w:val="21"/>
              </w:rPr>
              <w:t>691822661</w:t>
            </w:r>
          </w:p>
        </w:tc>
        <w:tc>
          <w:tcPr>
            <w:tcW w:w="3506" w:type="dxa"/>
            <w:vAlign w:val="center"/>
          </w:tcPr>
          <w:p>
            <w:pPr>
              <w:spacing w:beforeLines="50"/>
              <w:ind w:firstLine="420" w:firstLineChars="200"/>
              <w:jc w:val="center"/>
              <w:rPr>
                <w:rFonts w:ascii="宋体" w:hAnsi="宋体"/>
                <w:sz w:val="21"/>
                <w:szCs w:val="21"/>
              </w:rPr>
            </w:pPr>
            <w:r>
              <w:rPr>
                <w:rFonts w:hint="eastAsia" w:ascii="宋体" w:hAnsi="宋体"/>
                <w:sz w:val="21"/>
                <w:szCs w:val="21"/>
              </w:rPr>
              <w:t>691822661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81" w:type="dxa"/>
            <w:vAlign w:val="center"/>
          </w:tcPr>
          <w:p>
            <w:pPr>
              <w:spacing w:beforeLines="50"/>
              <w:ind w:firstLine="420" w:firstLineChars="200"/>
              <w:jc w:val="center"/>
              <w:rPr>
                <w:rFonts w:ascii="宋体" w:hAnsi="宋体"/>
                <w:sz w:val="21"/>
                <w:szCs w:val="21"/>
              </w:rPr>
            </w:pPr>
            <w:r>
              <w:rPr>
                <w:rFonts w:hint="eastAsia" w:ascii="宋体" w:hAnsi="宋体"/>
                <w:sz w:val="21"/>
                <w:szCs w:val="21"/>
              </w:rPr>
              <w:t>开户单位</w:t>
            </w:r>
          </w:p>
        </w:tc>
        <w:tc>
          <w:tcPr>
            <w:tcW w:w="6382" w:type="dxa"/>
            <w:gridSpan w:val="2"/>
            <w:vAlign w:val="center"/>
          </w:tcPr>
          <w:p>
            <w:pPr>
              <w:spacing w:beforeLines="50"/>
              <w:ind w:firstLine="420" w:firstLineChars="200"/>
              <w:jc w:val="center"/>
              <w:rPr>
                <w:rFonts w:ascii="宋体" w:hAnsi="宋体"/>
                <w:sz w:val="21"/>
                <w:szCs w:val="21"/>
              </w:rPr>
            </w:pPr>
            <w:r>
              <w:rPr>
                <w:rFonts w:hint="eastAsia" w:ascii="宋体" w:hAnsi="宋体"/>
                <w:sz w:val="21"/>
                <w:szCs w:val="21"/>
              </w:rPr>
              <w:t>福建精磊信工程管理有限公司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81" w:type="dxa"/>
            <w:vAlign w:val="center"/>
          </w:tcPr>
          <w:p>
            <w:pPr>
              <w:spacing w:beforeLines="50"/>
              <w:ind w:firstLine="420" w:firstLineChars="200"/>
              <w:jc w:val="center"/>
              <w:rPr>
                <w:rFonts w:ascii="宋体" w:hAnsi="宋体"/>
                <w:sz w:val="21"/>
                <w:szCs w:val="21"/>
              </w:rPr>
            </w:pPr>
            <w:r>
              <w:rPr>
                <w:rFonts w:hint="eastAsia" w:ascii="宋体" w:hAnsi="宋体"/>
                <w:sz w:val="21"/>
                <w:szCs w:val="21"/>
              </w:rPr>
              <w:t>保证金/服务费咨询电话</w:t>
            </w:r>
          </w:p>
        </w:tc>
        <w:tc>
          <w:tcPr>
            <w:tcW w:w="6382" w:type="dxa"/>
            <w:gridSpan w:val="2"/>
            <w:vAlign w:val="center"/>
          </w:tcPr>
          <w:p>
            <w:pPr>
              <w:spacing w:beforeLines="50"/>
              <w:ind w:firstLine="420" w:firstLineChars="200"/>
              <w:jc w:val="center"/>
              <w:rPr>
                <w:rFonts w:ascii="宋体" w:hAnsi="宋体"/>
                <w:sz w:val="21"/>
                <w:szCs w:val="21"/>
              </w:rPr>
            </w:pPr>
            <w:r>
              <w:rPr>
                <w:rFonts w:hint="eastAsia" w:ascii="宋体" w:hAnsi="宋体"/>
                <w:sz w:val="21"/>
                <w:szCs w:val="21"/>
              </w:rPr>
              <w:t>15396272187</w:t>
            </w:r>
          </w:p>
        </w:tc>
      </w:tr>
    </w:tbl>
    <w:p>
      <w:pPr>
        <w:spacing w:beforeLines="50"/>
        <w:ind w:firstLine="420" w:firstLineChars="200"/>
        <w:rPr>
          <w:rFonts w:ascii="宋体" w:hAnsi="宋体"/>
          <w:sz w:val="21"/>
          <w:szCs w:val="21"/>
        </w:rPr>
      </w:pPr>
    </w:p>
    <w:p>
      <w:pPr>
        <w:pStyle w:val="7"/>
        <w:spacing w:line="240" w:lineRule="auto"/>
        <w:jc w:val="left"/>
        <w:rPr>
          <w:rFonts w:ascii="宋体" w:hAnsi="宋体" w:eastAsia="宋体"/>
          <w:sz w:val="24"/>
          <w:szCs w:val="24"/>
        </w:rPr>
      </w:pPr>
      <w:bookmarkStart w:id="9" w:name="_Toc28984"/>
      <w:bookmarkStart w:id="10" w:name="_Toc1851"/>
      <w:r>
        <w:rPr>
          <w:rFonts w:hint="eastAsia" w:ascii="宋体" w:hAnsi="宋体" w:eastAsia="宋体"/>
          <w:sz w:val="24"/>
          <w:szCs w:val="24"/>
        </w:rPr>
        <w:t>附：项目一览表</w:t>
      </w:r>
      <w:bookmarkEnd w:id="9"/>
      <w:bookmarkEnd w:id="10"/>
    </w:p>
    <w:tbl>
      <w:tblPr>
        <w:tblStyle w:val="24"/>
        <w:tblW w:w="9354"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977"/>
        <w:gridCol w:w="1118"/>
        <w:gridCol w:w="1459"/>
        <w:gridCol w:w="200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968" w:type="dxa"/>
            <w:vAlign w:val="center"/>
          </w:tcPr>
          <w:p>
            <w:pPr>
              <w:spacing w:beforeLines="50"/>
              <w:jc w:val="center"/>
              <w:rPr>
                <w:rFonts w:ascii="宋体" w:hAnsi="宋体"/>
                <w:b/>
                <w:bCs/>
                <w:sz w:val="21"/>
                <w:szCs w:val="21"/>
              </w:rPr>
            </w:pPr>
            <w:r>
              <w:rPr>
                <w:rFonts w:hint="eastAsia" w:ascii="宋体" w:hAnsi="宋体"/>
                <w:b/>
                <w:bCs/>
                <w:sz w:val="21"/>
                <w:szCs w:val="21"/>
              </w:rPr>
              <w:t>合同包</w:t>
            </w:r>
          </w:p>
        </w:tc>
        <w:tc>
          <w:tcPr>
            <w:tcW w:w="1977" w:type="dxa"/>
            <w:vAlign w:val="center"/>
          </w:tcPr>
          <w:p>
            <w:pPr>
              <w:spacing w:beforeLines="50"/>
              <w:jc w:val="center"/>
              <w:rPr>
                <w:rFonts w:ascii="宋体" w:hAnsi="宋体"/>
                <w:b/>
                <w:bCs/>
                <w:sz w:val="21"/>
                <w:szCs w:val="21"/>
              </w:rPr>
            </w:pPr>
            <w:r>
              <w:rPr>
                <w:rFonts w:hint="eastAsia" w:ascii="宋体" w:hAnsi="宋体"/>
                <w:b/>
                <w:bCs/>
                <w:sz w:val="21"/>
                <w:szCs w:val="21"/>
              </w:rPr>
              <w:t>项目名称</w:t>
            </w:r>
          </w:p>
        </w:tc>
        <w:tc>
          <w:tcPr>
            <w:tcW w:w="1118" w:type="dxa"/>
            <w:vAlign w:val="center"/>
          </w:tcPr>
          <w:p>
            <w:pPr>
              <w:spacing w:beforeLines="50"/>
              <w:jc w:val="center"/>
              <w:rPr>
                <w:rFonts w:ascii="宋体" w:hAnsi="宋体"/>
                <w:b/>
                <w:bCs/>
                <w:sz w:val="21"/>
                <w:szCs w:val="21"/>
              </w:rPr>
            </w:pPr>
            <w:r>
              <w:rPr>
                <w:rFonts w:hint="eastAsia" w:ascii="宋体" w:hAnsi="宋体"/>
                <w:b/>
                <w:bCs/>
                <w:sz w:val="21"/>
                <w:szCs w:val="21"/>
              </w:rPr>
              <w:t>数量</w:t>
            </w:r>
          </w:p>
        </w:tc>
        <w:tc>
          <w:tcPr>
            <w:tcW w:w="1459" w:type="dxa"/>
            <w:vAlign w:val="center"/>
          </w:tcPr>
          <w:p>
            <w:pPr>
              <w:spacing w:beforeLines="50"/>
              <w:jc w:val="center"/>
              <w:rPr>
                <w:rFonts w:ascii="宋体" w:hAnsi="宋体"/>
                <w:b/>
                <w:bCs/>
                <w:sz w:val="21"/>
                <w:szCs w:val="21"/>
              </w:rPr>
            </w:pPr>
            <w:r>
              <w:rPr>
                <w:rFonts w:hint="eastAsia" w:ascii="宋体" w:hAnsi="宋体"/>
                <w:b/>
                <w:bCs/>
                <w:sz w:val="21"/>
                <w:szCs w:val="21"/>
              </w:rPr>
              <w:t>技术规格及要求</w:t>
            </w:r>
          </w:p>
        </w:tc>
        <w:tc>
          <w:tcPr>
            <w:tcW w:w="2005" w:type="dxa"/>
            <w:vAlign w:val="center"/>
          </w:tcPr>
          <w:p>
            <w:pPr>
              <w:spacing w:beforeLines="50"/>
              <w:jc w:val="center"/>
              <w:rPr>
                <w:rFonts w:ascii="宋体" w:hAnsi="宋体"/>
                <w:b/>
                <w:bCs/>
                <w:sz w:val="21"/>
                <w:szCs w:val="21"/>
              </w:rPr>
            </w:pPr>
            <w:r>
              <w:rPr>
                <w:rFonts w:hint="eastAsia" w:ascii="宋体" w:hAnsi="宋体"/>
                <w:b/>
                <w:bCs/>
                <w:sz w:val="21"/>
                <w:szCs w:val="21"/>
              </w:rPr>
              <w:t>服务期</w:t>
            </w:r>
          </w:p>
        </w:tc>
        <w:tc>
          <w:tcPr>
            <w:tcW w:w="1827" w:type="dxa"/>
            <w:vAlign w:val="center"/>
          </w:tcPr>
          <w:p>
            <w:pPr>
              <w:spacing w:beforeLines="50"/>
              <w:jc w:val="center"/>
              <w:rPr>
                <w:rFonts w:ascii="宋体" w:hAnsi="宋体"/>
                <w:b/>
                <w:bCs/>
                <w:sz w:val="21"/>
                <w:szCs w:val="21"/>
              </w:rPr>
            </w:pPr>
            <w:r>
              <w:rPr>
                <w:rFonts w:hint="eastAsia" w:ascii="宋体" w:hAnsi="宋体"/>
                <w:b/>
                <w:bCs/>
                <w:sz w:val="21"/>
                <w:szCs w:val="21"/>
              </w:rPr>
              <w:t>交付使用地点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7" w:hRule="atLeast"/>
        </w:trPr>
        <w:tc>
          <w:tcPr>
            <w:tcW w:w="968" w:type="dxa"/>
            <w:vAlign w:val="center"/>
          </w:tcPr>
          <w:p>
            <w:pPr>
              <w:spacing w:beforeLines="50"/>
              <w:jc w:val="center"/>
              <w:rPr>
                <w:rFonts w:ascii="宋体" w:hAnsi="宋体"/>
                <w:sz w:val="21"/>
                <w:szCs w:val="21"/>
              </w:rPr>
            </w:pPr>
            <w:r>
              <w:rPr>
                <w:rFonts w:hint="eastAsia" w:ascii="宋体" w:hAnsi="宋体"/>
                <w:sz w:val="21"/>
                <w:szCs w:val="21"/>
              </w:rPr>
              <w:t>一</w:t>
            </w:r>
          </w:p>
        </w:tc>
        <w:tc>
          <w:tcPr>
            <w:tcW w:w="1977" w:type="dxa"/>
            <w:vAlign w:val="center"/>
          </w:tcPr>
          <w:p>
            <w:pPr>
              <w:spacing w:beforeLines="50"/>
              <w:jc w:val="left"/>
              <w:rPr>
                <w:rFonts w:ascii="宋体" w:hAnsi="宋体"/>
                <w:sz w:val="21"/>
                <w:szCs w:val="21"/>
              </w:rPr>
            </w:pPr>
          </w:p>
          <w:p>
            <w:pPr>
              <w:spacing w:beforeLines="50"/>
              <w:jc w:val="center"/>
              <w:rPr>
                <w:rFonts w:ascii="宋体" w:hAnsi="宋体"/>
                <w:sz w:val="21"/>
                <w:szCs w:val="21"/>
              </w:rPr>
            </w:pPr>
            <w:r>
              <w:rPr>
                <w:rFonts w:hint="eastAsia" w:ascii="宋体" w:hAnsi="宋体"/>
                <w:sz w:val="21"/>
                <w:szCs w:val="21"/>
              </w:rPr>
              <w:t>消防设施维修更换</w:t>
            </w:r>
          </w:p>
          <w:p>
            <w:pPr>
              <w:spacing w:beforeLines="50"/>
              <w:ind w:firstLine="420" w:firstLineChars="200"/>
              <w:jc w:val="center"/>
              <w:rPr>
                <w:rFonts w:ascii="宋体" w:hAnsi="宋体"/>
                <w:sz w:val="21"/>
                <w:szCs w:val="21"/>
              </w:rPr>
            </w:pPr>
          </w:p>
        </w:tc>
        <w:tc>
          <w:tcPr>
            <w:tcW w:w="1118" w:type="dxa"/>
            <w:vAlign w:val="center"/>
          </w:tcPr>
          <w:p>
            <w:pPr>
              <w:spacing w:beforeLines="50"/>
              <w:jc w:val="center"/>
              <w:rPr>
                <w:rFonts w:ascii="宋体" w:hAnsi="宋体"/>
                <w:sz w:val="21"/>
                <w:szCs w:val="21"/>
              </w:rPr>
            </w:pPr>
            <w:r>
              <w:rPr>
                <w:rFonts w:hint="eastAsia" w:ascii="宋体" w:hAnsi="宋体"/>
                <w:sz w:val="21"/>
                <w:szCs w:val="21"/>
              </w:rPr>
              <w:t>1项</w:t>
            </w:r>
          </w:p>
        </w:tc>
        <w:tc>
          <w:tcPr>
            <w:tcW w:w="1459" w:type="dxa"/>
            <w:vAlign w:val="center"/>
          </w:tcPr>
          <w:p>
            <w:pPr>
              <w:spacing w:beforeLines="50"/>
              <w:jc w:val="center"/>
              <w:rPr>
                <w:rFonts w:ascii="宋体" w:hAnsi="宋体"/>
                <w:sz w:val="21"/>
                <w:szCs w:val="21"/>
              </w:rPr>
            </w:pPr>
            <w:r>
              <w:rPr>
                <w:rFonts w:hint="eastAsia" w:ascii="宋体" w:hAnsi="宋体"/>
                <w:sz w:val="21"/>
                <w:szCs w:val="21"/>
              </w:rPr>
              <w:t>详见磋商文件第三章</w:t>
            </w:r>
          </w:p>
        </w:tc>
        <w:tc>
          <w:tcPr>
            <w:tcW w:w="2005" w:type="dxa"/>
            <w:vAlign w:val="center"/>
          </w:tcPr>
          <w:p>
            <w:pPr>
              <w:spacing w:beforeLines="50"/>
              <w:jc w:val="center"/>
              <w:rPr>
                <w:rFonts w:ascii="宋体" w:hAnsi="宋体"/>
                <w:sz w:val="21"/>
                <w:szCs w:val="21"/>
              </w:rPr>
            </w:pPr>
            <w:r>
              <w:rPr>
                <w:rFonts w:hint="eastAsia" w:ascii="宋体" w:hAnsi="宋体"/>
                <w:sz w:val="21"/>
                <w:szCs w:val="21"/>
              </w:rPr>
              <w:t>合同签订后30个日历日内货到、安装、调试完毕并通过验收合格交付使用</w:t>
            </w:r>
          </w:p>
        </w:tc>
        <w:tc>
          <w:tcPr>
            <w:tcW w:w="1827" w:type="dxa"/>
            <w:vAlign w:val="center"/>
          </w:tcPr>
          <w:p>
            <w:pPr>
              <w:spacing w:beforeLines="50"/>
              <w:jc w:val="center"/>
              <w:rPr>
                <w:rFonts w:ascii="宋体" w:hAnsi="宋体"/>
                <w:sz w:val="21"/>
                <w:szCs w:val="21"/>
              </w:rPr>
            </w:pPr>
            <w:r>
              <w:rPr>
                <w:rFonts w:hint="eastAsia" w:ascii="宋体" w:hAnsi="宋体"/>
                <w:sz w:val="21"/>
                <w:szCs w:val="21"/>
              </w:rPr>
              <w:t>采购人指定地点</w:t>
            </w:r>
          </w:p>
        </w:tc>
      </w:tr>
    </w:tbl>
    <w:p>
      <w:pPr>
        <w:spacing w:beforeLines="50"/>
        <w:rPr>
          <w:rFonts w:ascii="宋体" w:hAnsi="宋体"/>
          <w:sz w:val="21"/>
          <w:szCs w:val="21"/>
        </w:rPr>
      </w:pPr>
    </w:p>
    <w:p>
      <w:pPr>
        <w:spacing w:beforeLines="50"/>
        <w:ind w:firstLine="420" w:firstLineChars="200"/>
        <w:rPr>
          <w:rFonts w:ascii="宋体" w:hAnsi="宋体"/>
          <w:sz w:val="21"/>
          <w:szCs w:val="21"/>
        </w:rPr>
      </w:pPr>
      <w:r>
        <w:rPr>
          <w:rFonts w:hint="eastAsia" w:ascii="宋体" w:hAnsi="宋体"/>
          <w:sz w:val="21"/>
          <w:szCs w:val="21"/>
        </w:rPr>
        <w:t>备注：合同包完整不可分，磋商响应供应商必须对合同包内所有服务进行完整报价。磋商响应供应商可按合同包响应，评审与成交以合同包为单位。</w:t>
      </w:r>
    </w:p>
    <w:p>
      <w:pPr>
        <w:pStyle w:val="6"/>
        <w:spacing w:line="276" w:lineRule="auto"/>
        <w:jc w:val="center"/>
        <w:rPr>
          <w:sz w:val="36"/>
          <w:szCs w:val="36"/>
        </w:rPr>
      </w:pPr>
    </w:p>
    <w:p>
      <w:pPr>
        <w:rPr>
          <w:sz w:val="36"/>
          <w:szCs w:val="36"/>
        </w:rPr>
      </w:pPr>
    </w:p>
    <w:p>
      <w:pPr>
        <w:pStyle w:val="2"/>
        <w:rPr>
          <w:sz w:val="36"/>
          <w:szCs w:val="36"/>
        </w:rPr>
      </w:pPr>
    </w:p>
    <w:p>
      <w:pPr>
        <w:pStyle w:val="3"/>
        <w:rPr>
          <w:sz w:val="36"/>
          <w:szCs w:val="36"/>
        </w:rPr>
      </w:pPr>
    </w:p>
    <w:p>
      <w:pPr>
        <w:pStyle w:val="5"/>
        <w:ind w:firstLine="720"/>
        <w:rPr>
          <w:sz w:val="36"/>
          <w:szCs w:val="36"/>
        </w:rPr>
      </w:pPr>
    </w:p>
    <w:p>
      <w:pPr>
        <w:rPr>
          <w:sz w:val="36"/>
          <w:szCs w:val="36"/>
        </w:rPr>
      </w:pPr>
    </w:p>
    <w:p>
      <w:pPr>
        <w:pStyle w:val="2"/>
        <w:rPr>
          <w:sz w:val="36"/>
          <w:szCs w:val="36"/>
        </w:rPr>
      </w:pPr>
    </w:p>
    <w:p>
      <w:pPr>
        <w:pStyle w:val="3"/>
        <w:rPr>
          <w:sz w:val="36"/>
          <w:szCs w:val="36"/>
        </w:rPr>
      </w:pPr>
    </w:p>
    <w:p>
      <w:pPr>
        <w:pStyle w:val="5"/>
        <w:ind w:firstLine="720"/>
        <w:rPr>
          <w:sz w:val="36"/>
          <w:szCs w:val="36"/>
        </w:rPr>
      </w:pPr>
    </w:p>
    <w:p>
      <w:pPr>
        <w:rPr>
          <w:sz w:val="36"/>
          <w:szCs w:val="36"/>
        </w:rPr>
      </w:pPr>
    </w:p>
    <w:p>
      <w:pPr>
        <w:pStyle w:val="2"/>
        <w:rPr>
          <w:sz w:val="36"/>
          <w:szCs w:val="36"/>
        </w:rPr>
      </w:pPr>
    </w:p>
    <w:p>
      <w:pPr>
        <w:pStyle w:val="3"/>
        <w:rPr>
          <w:sz w:val="36"/>
          <w:szCs w:val="36"/>
        </w:rPr>
      </w:pPr>
    </w:p>
    <w:p>
      <w:pPr>
        <w:pStyle w:val="5"/>
        <w:ind w:firstLine="720"/>
        <w:rPr>
          <w:sz w:val="36"/>
          <w:szCs w:val="36"/>
        </w:rPr>
      </w:pPr>
    </w:p>
    <w:p>
      <w:pPr/>
    </w:p>
    <w:p>
      <w:pPr>
        <w:pStyle w:val="6"/>
        <w:spacing w:line="276" w:lineRule="auto"/>
        <w:jc w:val="center"/>
        <w:rPr>
          <w:sz w:val="36"/>
          <w:szCs w:val="36"/>
        </w:rPr>
      </w:pPr>
      <w:bookmarkStart w:id="11" w:name="_Toc17566"/>
      <w:r>
        <w:rPr>
          <w:rFonts w:hint="eastAsia"/>
          <w:sz w:val="36"/>
          <w:szCs w:val="36"/>
        </w:rPr>
        <w:t>第二章  磋商响应供应商须知</w:t>
      </w:r>
      <w:bookmarkEnd w:id="7"/>
      <w:bookmarkEnd w:id="8"/>
      <w:bookmarkEnd w:id="11"/>
    </w:p>
    <w:p>
      <w:pPr>
        <w:pStyle w:val="7"/>
        <w:jc w:val="center"/>
        <w:rPr>
          <w:rFonts w:ascii="宋体" w:hAnsi="宋体" w:eastAsia="宋体"/>
        </w:rPr>
      </w:pPr>
      <w:bookmarkStart w:id="12" w:name="_Toc20677"/>
      <w:bookmarkStart w:id="13" w:name="_Toc6857"/>
      <w:r>
        <w:rPr>
          <w:rFonts w:hint="eastAsia" w:ascii="宋体" w:hAnsi="宋体" w:eastAsia="宋体"/>
        </w:rPr>
        <w:t>磋商响应供应商须知前附表</w:t>
      </w:r>
      <w:bookmarkEnd w:id="12"/>
      <w:bookmarkEnd w:id="13"/>
    </w:p>
    <w:p>
      <w:pPr>
        <w:spacing w:line="360" w:lineRule="auto"/>
        <w:ind w:firstLine="525"/>
        <w:rPr>
          <w:rFonts w:ascii="宋体" w:hAnsi="宋体"/>
          <w:sz w:val="21"/>
          <w:szCs w:val="21"/>
        </w:rPr>
      </w:pPr>
      <w:r>
        <w:rPr>
          <w:rFonts w:hint="eastAsia" w:ascii="宋体" w:hAnsi="宋体"/>
          <w:sz w:val="21"/>
          <w:szCs w:val="21"/>
        </w:rPr>
        <w:t>本须知前附表中的条款是与《磋商响应供应商须知》中的条款相对应的。如果有矛盾的话，应以本须知前附表为准。</w:t>
      </w:r>
      <w:r>
        <w:rPr>
          <w:rFonts w:ascii="宋体" w:hAnsi="宋体"/>
          <w:sz w:val="21"/>
          <w:szCs w:val="21"/>
        </w:rPr>
        <w:t xml:space="preserve"> </w:t>
      </w:r>
    </w:p>
    <w:tbl>
      <w:tblPr>
        <w:tblStyle w:val="24"/>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序号</w:t>
            </w:r>
          </w:p>
        </w:tc>
        <w:tc>
          <w:tcPr>
            <w:tcW w:w="8354"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编</w:t>
            </w:r>
            <w:r>
              <w:rPr>
                <w:rFonts w:ascii="宋体" w:hAnsi="宋体"/>
                <w:sz w:val="21"/>
                <w:szCs w:val="21"/>
              </w:rPr>
              <w:t xml:space="preserve">   </w:t>
            </w:r>
            <w:r>
              <w:rPr>
                <w:rFonts w:hint="eastAsia" w:ascii="宋体" w:hAnsi="宋体"/>
                <w:sz w:val="21"/>
                <w:szCs w:val="21"/>
              </w:rPr>
              <w:t>列</w:t>
            </w:r>
            <w:r>
              <w:rPr>
                <w:rFonts w:ascii="宋体" w:hAnsi="宋体"/>
                <w:sz w:val="21"/>
                <w:szCs w:val="21"/>
              </w:rPr>
              <w:t xml:space="preserve">   </w:t>
            </w:r>
            <w:r>
              <w:rPr>
                <w:rFonts w:hint="eastAsia" w:ascii="宋体" w:hAnsi="宋体"/>
                <w:sz w:val="21"/>
                <w:szCs w:val="21"/>
              </w:rPr>
              <w:t>内</w:t>
            </w:r>
            <w:r>
              <w:rPr>
                <w:rFonts w:ascii="宋体" w:hAnsi="宋体"/>
                <w:sz w:val="21"/>
                <w:szCs w:val="21"/>
              </w:rPr>
              <w:t xml:space="preserve">    </w:t>
            </w:r>
            <w:r>
              <w:rPr>
                <w:rFonts w:hint="eastAsia" w:ascii="宋体" w:hAnsi="宋体"/>
                <w:sz w:val="21"/>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1</w:t>
            </w:r>
          </w:p>
        </w:tc>
        <w:tc>
          <w:tcPr>
            <w:tcW w:w="8354" w:type="dxa"/>
            <w:tcMar>
              <w:top w:w="85" w:type="dxa"/>
              <w:left w:w="57" w:type="dxa"/>
              <w:bottom w:w="85" w:type="dxa"/>
              <w:right w:w="57" w:type="dxa"/>
            </w:tcMar>
            <w:vAlign w:val="center"/>
          </w:tcPr>
          <w:p>
            <w:pPr>
              <w:spacing w:beforeLines="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r>
              <w:rPr>
                <w:rFonts w:hint="eastAsia" w:ascii="宋体" w:hAnsi="宋体"/>
                <w:sz w:val="21"/>
                <w:szCs w:val="21"/>
              </w:rPr>
              <w:t>消防设施维修更换</w:t>
            </w:r>
          </w:p>
          <w:p>
            <w:pPr>
              <w:spacing w:line="440" w:lineRule="exact"/>
              <w:rPr>
                <w:rFonts w:ascii="宋体" w:hAnsi="宋体" w:cs="宋体"/>
                <w:sz w:val="24"/>
                <w:highlight w:val="yellow"/>
                <w:u w:val="single"/>
              </w:rPr>
            </w:pPr>
            <w:r>
              <w:rPr>
                <w:rFonts w:hint="eastAsia" w:asciiTheme="minorEastAsia" w:hAnsiTheme="minorEastAsia" w:eastAsiaTheme="minorEastAsia" w:cstheme="minorEastAsia"/>
                <w:sz w:val="21"/>
                <w:szCs w:val="21"/>
              </w:rPr>
              <w:t>采购人名称：厦门市社会福利中心</w:t>
            </w:r>
          </w:p>
          <w:p>
            <w:pPr>
              <w:spacing w:line="4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项目内容：详见采购文件第三章</w:t>
            </w:r>
          </w:p>
          <w:p>
            <w:pPr>
              <w:spacing w:line="4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项目编号：</w:t>
            </w:r>
            <w:r>
              <w:rPr>
                <w:rFonts w:hint="eastAsia" w:ascii="宋体" w:hAnsi="宋体"/>
                <w:sz w:val="21"/>
                <w:szCs w:val="21"/>
              </w:rPr>
              <w:t>JLX2021-001</w:t>
            </w:r>
          </w:p>
          <w:p>
            <w:pPr>
              <w:spacing w:line="440" w:lineRule="exact"/>
              <w:rPr>
                <w:rFonts w:ascii="宋体" w:hAnsi="宋体" w:cs="Arial"/>
                <w:b/>
                <w:bCs/>
                <w:sz w:val="21"/>
                <w:szCs w:val="21"/>
              </w:rPr>
            </w:pPr>
            <w:r>
              <w:rPr>
                <w:rFonts w:hint="eastAsia" w:asciiTheme="minorEastAsia" w:hAnsiTheme="minorEastAsia" w:eastAsiaTheme="minorEastAsia" w:cstheme="minorEastAsia"/>
                <w:sz w:val="21"/>
                <w:szCs w:val="21"/>
              </w:rPr>
              <w:t>项目预算：</w:t>
            </w:r>
            <w:r>
              <w:rPr>
                <w:rFonts w:hint="eastAsia" w:asciiTheme="minorEastAsia" w:hAnsiTheme="minorEastAsia" w:eastAsiaTheme="minorEastAsia" w:cstheme="minorEastAsia"/>
                <w:sz w:val="21"/>
                <w:szCs w:val="21"/>
                <w:highlight w:val="yellow"/>
              </w:rPr>
              <w:t>19.19225</w:t>
            </w:r>
            <w:r>
              <w:rPr>
                <w:rFonts w:hint="eastAsia" w:asciiTheme="minorEastAsia" w:hAnsiTheme="minorEastAsia" w:eastAsiaTheme="minorEastAsia" w:cstheme="minorEastAsia"/>
                <w:sz w:val="21"/>
                <w:szCs w:val="21"/>
              </w:rPr>
              <w:t>万元 ，项目预算为本项目最高限价，超过此最高限价的为无效报价。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2</w:t>
            </w:r>
          </w:p>
        </w:tc>
        <w:tc>
          <w:tcPr>
            <w:tcW w:w="8354" w:type="dxa"/>
            <w:tcMar>
              <w:top w:w="85" w:type="dxa"/>
              <w:left w:w="57" w:type="dxa"/>
              <w:bottom w:w="85" w:type="dxa"/>
              <w:right w:w="57" w:type="dxa"/>
            </w:tcMar>
            <w:vAlign w:val="center"/>
          </w:tcPr>
          <w:p>
            <w:pPr>
              <w:spacing w:line="400" w:lineRule="atLeast"/>
              <w:rPr>
                <w:rFonts w:ascii="宋体" w:hAnsi="宋体"/>
                <w:sz w:val="21"/>
                <w:szCs w:val="21"/>
              </w:rPr>
            </w:pPr>
            <w:r>
              <w:rPr>
                <w:rFonts w:hint="eastAsia" w:ascii="宋体" w:hAnsi="宋体"/>
                <w:sz w:val="21"/>
                <w:szCs w:val="21"/>
              </w:rPr>
              <w:t>磋商响应供应商资格要求与资格证明文件：</w:t>
            </w:r>
          </w:p>
          <w:p>
            <w:pPr>
              <w:spacing w:line="400" w:lineRule="atLeast"/>
              <w:rPr>
                <w:rFonts w:ascii="宋体" w:hAnsi="宋体" w:cs="Arial"/>
                <w:sz w:val="21"/>
                <w:szCs w:val="21"/>
              </w:rPr>
            </w:pPr>
            <w:r>
              <w:rPr>
                <w:rFonts w:hint="eastAsia" w:ascii="宋体" w:hAnsi="宋体" w:cs="Arial"/>
                <w:sz w:val="21"/>
                <w:szCs w:val="21"/>
              </w:rPr>
              <w:t>（一）法人或者其他组织的营业执照等证明文件，自然人的身份证明；供应商是法人或者其他组织的应提供营业执照等证明文件，供应商是自然人的应提供有效的自然人身份证明。</w:t>
            </w:r>
          </w:p>
          <w:p>
            <w:pPr>
              <w:spacing w:line="440" w:lineRule="exact"/>
              <w:rPr>
                <w:sz w:val="21"/>
                <w:szCs w:val="21"/>
              </w:rPr>
            </w:pPr>
            <w:r>
              <w:rPr>
                <w:rFonts w:hint="eastAsia" w:ascii="宋体" w:hAnsi="宋体" w:cs="Arial"/>
                <w:sz w:val="21"/>
                <w:szCs w:val="21"/>
              </w:rPr>
              <w:t>（二）</w:t>
            </w:r>
            <w:r>
              <w:rPr>
                <w:rFonts w:hint="eastAsia" w:asciiTheme="minorEastAsia" w:hAnsiTheme="minorEastAsia" w:eastAsiaTheme="minorEastAsia" w:cstheme="minorEastAsia"/>
                <w:sz w:val="21"/>
                <w:szCs w:val="21"/>
              </w:rPr>
              <w:t>磋商响应供应商</w:t>
            </w:r>
            <w:r>
              <w:rPr>
                <w:rFonts w:hint="eastAsia" w:ascii="宋体" w:hAnsi="宋体"/>
                <w:sz w:val="21"/>
                <w:szCs w:val="21"/>
              </w:rPr>
              <w:t>须提供</w:t>
            </w:r>
            <w:r>
              <w:rPr>
                <w:rFonts w:hint="eastAsia" w:asciiTheme="minorEastAsia" w:hAnsiTheme="minorEastAsia" w:eastAsiaTheme="minorEastAsia" w:cstheme="minorEastAsia"/>
                <w:sz w:val="21"/>
                <w:szCs w:val="21"/>
              </w:rPr>
              <w:t>磋商响应供应商</w:t>
            </w:r>
            <w:r>
              <w:rPr>
                <w:rFonts w:hint="eastAsia" w:ascii="宋体" w:hAnsi="宋体"/>
                <w:sz w:val="21"/>
                <w:szCs w:val="21"/>
              </w:rPr>
              <w:t>代表的身份证复印件（正反面均需复印），</w:t>
            </w:r>
            <w:r>
              <w:rPr>
                <w:rFonts w:hint="eastAsia" w:asciiTheme="minorEastAsia" w:hAnsiTheme="minorEastAsia" w:eastAsiaTheme="minorEastAsia" w:cstheme="minorEastAsia"/>
                <w:sz w:val="21"/>
                <w:szCs w:val="21"/>
              </w:rPr>
              <w:t>磋商响应供应商代表若不是法定代表人的，必须在磋商响应文件中提供法定代表人授权书原件</w:t>
            </w:r>
            <w:r>
              <w:rPr>
                <w:rFonts w:hint="eastAsia" w:ascii="宋体" w:hAnsi="宋体"/>
                <w:sz w:val="21"/>
                <w:szCs w:val="21"/>
              </w:rPr>
              <w:t>。</w:t>
            </w:r>
          </w:p>
          <w:p>
            <w:pPr>
              <w:spacing w:line="4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（三）具备履行合同所必需的设备和专业技术能力的证明材料（可以提供证书、承诺书等）；</w:t>
            </w:r>
          </w:p>
          <w:p>
            <w:pPr>
              <w:spacing w:line="4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（四）参加采购活动前 3 年内在经营活动中没有重大违法记录的书面声明；</w:t>
            </w:r>
          </w:p>
          <w:p>
            <w:pPr>
              <w:spacing w:line="4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（五）前3年内在经营活动中没有行贿记录的书面声明；</w:t>
            </w:r>
          </w:p>
          <w:p>
            <w:pPr>
              <w:spacing w:line="4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信用记录，按照下列规定执行：（1）磋商响应供应商应在（采购文件要求的磋商响应截止时间前）分别通过“信用厦门”网址（http://credit.xm.gov.cn/）、“信用中国”网站（www.creditchina.gov.cn）、中国政府采购网（www.ccgp.gov.cn）查询并打印相应的信用记录（以下简称：“磋商响应供应商提供的查询结果”），磋商响应供应商提供的查询结果应为其通过上述网站获取的信用信息查询结果原始页面的打印件（或截图）。（2）查询结果的审查：①由</w:t>
            </w:r>
            <w:r>
              <w:rPr>
                <w:rFonts w:hint="eastAsia" w:ascii="宋体" w:hAnsi="宋体"/>
                <w:sz w:val="21"/>
                <w:szCs w:val="21"/>
              </w:rPr>
              <w:t>磋商小组</w:t>
            </w:r>
            <w:r>
              <w:rPr>
                <w:rFonts w:hint="eastAsia" w:asciiTheme="minorEastAsia" w:hAnsiTheme="minorEastAsia" w:eastAsiaTheme="minorEastAsia" w:cstheme="minorEastAsia"/>
                <w:sz w:val="21"/>
                <w:szCs w:val="21"/>
              </w:rPr>
              <w:t>会通过上述网站查询并打印磋商响应供应商信用记录；②磋商响应供应商提供的查询结果与</w:t>
            </w:r>
            <w:r>
              <w:rPr>
                <w:rFonts w:hint="eastAsia" w:ascii="宋体" w:hAnsi="宋体"/>
                <w:sz w:val="21"/>
                <w:szCs w:val="21"/>
              </w:rPr>
              <w:t>磋商小组</w:t>
            </w:r>
            <w:r>
              <w:rPr>
                <w:rFonts w:hint="eastAsia" w:asciiTheme="minorEastAsia" w:hAnsiTheme="minorEastAsia" w:eastAsiaTheme="minorEastAsia" w:cstheme="minorEastAsia"/>
                <w:sz w:val="21"/>
                <w:szCs w:val="21"/>
              </w:rPr>
              <w:t>的查询结果不一致的，以</w:t>
            </w:r>
            <w:r>
              <w:rPr>
                <w:rFonts w:hint="eastAsia" w:ascii="宋体" w:hAnsi="宋体"/>
                <w:sz w:val="21"/>
                <w:szCs w:val="21"/>
              </w:rPr>
              <w:t>磋商小组</w:t>
            </w:r>
            <w:r>
              <w:rPr>
                <w:rFonts w:hint="eastAsia" w:asciiTheme="minorEastAsia" w:hAnsiTheme="minorEastAsia" w:eastAsiaTheme="minorEastAsia" w:cstheme="minorEastAsia"/>
                <w:sz w:val="21"/>
                <w:szCs w:val="21"/>
              </w:rPr>
              <w:t>的查询结果为准（查询结果作为评审过程资料存档）；③因上述网站原因导致</w:t>
            </w:r>
            <w:r>
              <w:rPr>
                <w:rFonts w:hint="eastAsia" w:ascii="宋体" w:hAnsi="宋体"/>
                <w:sz w:val="21"/>
                <w:szCs w:val="21"/>
              </w:rPr>
              <w:t>磋商小组</w:t>
            </w:r>
            <w:r>
              <w:rPr>
                <w:rFonts w:hint="eastAsia" w:asciiTheme="minorEastAsia" w:hAnsiTheme="minorEastAsia" w:eastAsiaTheme="minorEastAsia" w:cstheme="minorEastAsia"/>
                <w:sz w:val="21"/>
                <w:szCs w:val="21"/>
              </w:rPr>
              <w:t>无法查询磋商响应供应商信用记录的，以磋商响应供应商提供的查询结果为准；④查询结果存在磋商响应供应商应被拒绝参与政府采购活动相关信息的，其资格审查不合格；（5）信用记录查询的具体办法及使用规则：在参加本项目采购活动前3年内在经营活动中有重大违法记录的供应商（“重大违法记录”指磋商响应供应商因违法经营受到刑事处罚或者责令停产停业、吊销许可证或者执照、较大数额罚款等行政处罚），以及被列入失信被执行人、重大税收违法案件当事人名单、政府采购严重违法失信行为记录名单、受到政府采购行政处罚（相关信用惩戒期限未满）或者存在行贿犯罪记录的磋商响应供应商，将被</w:t>
            </w:r>
            <w:r>
              <w:rPr>
                <w:rFonts w:hint="eastAsia" w:ascii="宋体" w:hAnsi="宋体"/>
                <w:sz w:val="21"/>
                <w:szCs w:val="21"/>
              </w:rPr>
              <w:t>磋商小组</w:t>
            </w:r>
            <w:r>
              <w:rPr>
                <w:rFonts w:hint="eastAsia" w:asciiTheme="minorEastAsia" w:hAnsiTheme="minorEastAsia" w:eastAsiaTheme="minorEastAsia" w:cstheme="minorEastAsia"/>
                <w:sz w:val="21"/>
                <w:szCs w:val="21"/>
              </w:rPr>
              <w:t>认定为不合格供应商。</w:t>
            </w:r>
          </w:p>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（七）本项目不接受联合体形式的报价。</w:t>
            </w:r>
          </w:p>
          <w:p>
            <w:pPr>
              <w:spacing w:line="400" w:lineRule="atLeast"/>
              <w:rPr>
                <w:rFonts w:ascii="宋体" w:hAnsi="宋体" w:cs="Arial"/>
                <w:sz w:val="21"/>
                <w:szCs w:val="21"/>
              </w:rPr>
            </w:pPr>
            <w:r>
              <w:rPr>
                <w:rFonts w:hint="eastAsia" w:ascii="宋体" w:hAnsi="宋体" w:cs="Arial"/>
                <w:b/>
                <w:bCs/>
                <w:sz w:val="21"/>
                <w:szCs w:val="21"/>
              </w:rPr>
              <w:t>注：供应商不满足上述规定的基本资格条件或提供资格证明文件不全的，将不被邀请为继续参加磋商的供应商，资格证明文件不接受磋商过程中的补充。以上资格证明文件为复印件的，须加盖供应商公章且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3</w:t>
            </w:r>
          </w:p>
        </w:tc>
        <w:tc>
          <w:tcPr>
            <w:tcW w:w="8354" w:type="dxa"/>
            <w:tcMar>
              <w:top w:w="85" w:type="dxa"/>
              <w:left w:w="57" w:type="dxa"/>
              <w:bottom w:w="85" w:type="dxa"/>
              <w:right w:w="57" w:type="dxa"/>
            </w:tcMar>
            <w:vAlign w:val="center"/>
          </w:tcPr>
          <w:p>
            <w:pPr>
              <w:spacing w:line="400" w:lineRule="atLeast"/>
              <w:rPr>
                <w:rFonts w:ascii="宋体" w:hAnsi="宋体"/>
                <w:sz w:val="21"/>
                <w:szCs w:val="21"/>
              </w:rPr>
            </w:pPr>
            <w:r>
              <w:rPr>
                <w:rFonts w:hint="eastAsia" w:ascii="宋体" w:hAnsi="宋体"/>
                <w:sz w:val="21"/>
                <w:szCs w:val="21"/>
              </w:rPr>
              <w:t>磋商响应有效期：磋商响应截止期结束后90个日历日。</w:t>
            </w:r>
          </w:p>
          <w:p>
            <w:pPr>
              <w:spacing w:line="400" w:lineRule="atLeast"/>
              <w:rPr>
                <w:rFonts w:ascii="宋体" w:hAnsi="宋体"/>
                <w:sz w:val="21"/>
                <w:szCs w:val="21"/>
              </w:rPr>
            </w:pPr>
            <w:r>
              <w:rPr>
                <w:rFonts w:hint="eastAsia" w:ascii="宋体" w:hAnsi="宋体"/>
                <w:sz w:val="21"/>
                <w:szCs w:val="21"/>
              </w:rPr>
              <w:t>有效期不足将导致其磋商响应被拒绝。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4</w:t>
            </w:r>
          </w:p>
        </w:tc>
        <w:tc>
          <w:tcPr>
            <w:tcW w:w="8354" w:type="dxa"/>
            <w:tcMar>
              <w:top w:w="85" w:type="dxa"/>
              <w:left w:w="57" w:type="dxa"/>
              <w:bottom w:w="85" w:type="dxa"/>
              <w:right w:w="57" w:type="dxa"/>
            </w:tcMar>
            <w:vAlign w:val="center"/>
          </w:tcPr>
          <w:p>
            <w:pPr>
              <w:spacing w:line="400" w:lineRule="atLeast"/>
              <w:rPr>
                <w:rFonts w:ascii="宋体" w:hAnsi="宋体"/>
                <w:sz w:val="21"/>
                <w:szCs w:val="21"/>
              </w:rPr>
            </w:pPr>
            <w:r>
              <w:rPr>
                <w:rFonts w:hint="eastAsia" w:ascii="宋体" w:hAnsi="宋体"/>
                <w:sz w:val="21"/>
                <w:szCs w:val="21"/>
              </w:rPr>
              <w:t xml:space="preserve">磋商响应文件递交地址：（厦门市思明区莲岳路221-1号公交大厦1号楼6楼） </w:t>
            </w:r>
          </w:p>
          <w:p>
            <w:pPr>
              <w:spacing w:line="400" w:lineRule="atLeast"/>
              <w:rPr>
                <w:rFonts w:ascii="宋体" w:hAnsi="宋体"/>
                <w:sz w:val="21"/>
                <w:szCs w:val="21"/>
              </w:rPr>
            </w:pPr>
            <w:r>
              <w:rPr>
                <w:rFonts w:hint="eastAsia" w:ascii="宋体" w:hAnsi="宋体"/>
                <w:sz w:val="21"/>
                <w:szCs w:val="21"/>
              </w:rPr>
              <w:t>磋商响应截止时间：见第一章磋商邀请。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5" w:hRule="atLeast"/>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5</w:t>
            </w:r>
          </w:p>
        </w:tc>
        <w:tc>
          <w:tcPr>
            <w:tcW w:w="8354" w:type="dxa"/>
            <w:tcMar>
              <w:top w:w="85" w:type="dxa"/>
              <w:left w:w="57" w:type="dxa"/>
              <w:bottom w:w="85" w:type="dxa"/>
              <w:right w:w="57" w:type="dxa"/>
            </w:tcMar>
            <w:vAlign w:val="center"/>
          </w:tcPr>
          <w:p>
            <w:pPr>
              <w:spacing w:line="400" w:lineRule="atLeast"/>
              <w:rPr>
                <w:rFonts w:ascii="宋体" w:hAnsi="宋体"/>
                <w:sz w:val="21"/>
                <w:szCs w:val="21"/>
              </w:rPr>
            </w:pPr>
            <w:r>
              <w:rPr>
                <w:rFonts w:hint="eastAsia" w:ascii="宋体" w:hAnsi="宋体"/>
                <w:sz w:val="21"/>
                <w:szCs w:val="21"/>
              </w:rPr>
              <w:t>磋商响应保证金：</w:t>
            </w:r>
          </w:p>
          <w:p>
            <w:pPr>
              <w:spacing w:line="440" w:lineRule="exact"/>
            </w:pPr>
            <w:r>
              <w:rPr>
                <w:rFonts w:hint="eastAsia" w:asciiTheme="minorEastAsia" w:hAnsiTheme="minorEastAsia" w:eastAsiaTheme="minorEastAsia" w:cstheme="minorEastAsia"/>
                <w:sz w:val="21"/>
                <w:szCs w:val="21"/>
              </w:rPr>
              <w:t>1、在磋商响应截止时间前，磋商响应供应商应提交磋商响应保证金人民币</w:t>
            </w:r>
            <w:r>
              <w:rPr>
                <w:rFonts w:hint="eastAsia" w:asciiTheme="minorEastAsia" w:hAnsiTheme="minorEastAsia" w:eastAsiaTheme="minorEastAsia" w:cstheme="minorEastAsia"/>
                <w:b/>
                <w:bCs/>
                <w:sz w:val="21"/>
                <w:szCs w:val="21"/>
              </w:rPr>
              <w:t>叁仟捌佰元整（￥3800元）</w:t>
            </w:r>
            <w:r>
              <w:rPr>
                <w:rFonts w:hint="eastAsia" w:asciiTheme="minorEastAsia" w:hAnsiTheme="minorEastAsia" w:eastAsiaTheme="minorEastAsia" w:cstheme="minorEastAsia"/>
                <w:sz w:val="21"/>
                <w:szCs w:val="21"/>
              </w:rPr>
              <w:t>，请磋商供应商自行办妥、缴交至招标代理机构账户，保证金以磋商截止时间前实际到帐为准</w:t>
            </w:r>
            <w:r>
              <w:rPr>
                <w:rFonts w:hint="eastAsia" w:asciiTheme="minorEastAsia" w:hAnsiTheme="minorEastAsia" w:eastAsiaTheme="minorEastAsia" w:cstheme="minorEastAsia"/>
                <w:b/>
                <w:bCs/>
                <w:sz w:val="21"/>
                <w:szCs w:val="21"/>
              </w:rPr>
              <w:t>（磋商响应供应商应在银行受理单据上标明采购项目编号，并在用途一栏上注明“保证金”）</w:t>
            </w:r>
            <w:r>
              <w:rPr>
                <w:rFonts w:hint="eastAsia" w:asciiTheme="minorEastAsia" w:hAnsiTheme="minorEastAsia" w:eastAsiaTheme="minorEastAsia" w:cstheme="minorEastAsia"/>
                <w:sz w:val="21"/>
                <w:szCs w:val="21"/>
              </w:rPr>
              <w:t>,磋商响应截止时间前磋商响应供应商应提供银行转账受理回执单据等，不能在磋商现场缴交现金或以个人名义交纳磋商响应保证金。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6</w:t>
            </w:r>
          </w:p>
        </w:tc>
        <w:tc>
          <w:tcPr>
            <w:tcW w:w="8354" w:type="dxa"/>
            <w:tcMar>
              <w:top w:w="85" w:type="dxa"/>
              <w:left w:w="57" w:type="dxa"/>
              <w:bottom w:w="85" w:type="dxa"/>
              <w:right w:w="57" w:type="dxa"/>
            </w:tcMar>
            <w:vAlign w:val="center"/>
          </w:tcPr>
          <w:p>
            <w:pPr>
              <w:spacing w:line="400" w:lineRule="atLeast"/>
              <w:rPr>
                <w:rFonts w:ascii="宋体" w:hAnsi="宋体"/>
                <w:sz w:val="21"/>
                <w:szCs w:val="21"/>
              </w:rPr>
            </w:pPr>
            <w:r>
              <w:rPr>
                <w:rFonts w:hint="eastAsia" w:ascii="宋体" w:hAnsi="宋体"/>
                <w:sz w:val="21"/>
                <w:szCs w:val="21"/>
              </w:rPr>
              <w:t>磋商流程及规则：</w:t>
            </w:r>
          </w:p>
          <w:p>
            <w:pPr>
              <w:spacing w:line="400" w:lineRule="atLeast"/>
              <w:rPr>
                <w:rFonts w:ascii="宋体" w:hAnsi="宋体"/>
                <w:sz w:val="21"/>
                <w:szCs w:val="21"/>
              </w:rPr>
            </w:pPr>
            <w:r>
              <w:rPr>
                <w:rFonts w:hint="eastAsia" w:ascii="宋体" w:hAnsi="宋体"/>
                <w:sz w:val="21"/>
                <w:szCs w:val="21"/>
              </w:rPr>
              <w:t>1、招标代理机构按有关规定组建磋商小组，编制竞争性磋商文件。</w:t>
            </w:r>
          </w:p>
          <w:p>
            <w:pPr>
              <w:tabs>
                <w:tab w:val="left" w:pos="-5801"/>
              </w:tabs>
              <w:spacing w:line="400" w:lineRule="atLeast"/>
              <w:rPr>
                <w:rFonts w:ascii="宋体" w:hAnsi="宋体"/>
                <w:sz w:val="21"/>
                <w:szCs w:val="21"/>
              </w:rPr>
            </w:pPr>
            <w:r>
              <w:rPr>
                <w:rFonts w:hint="eastAsia" w:ascii="宋体" w:hAnsi="宋体"/>
                <w:sz w:val="21"/>
                <w:szCs w:val="21"/>
              </w:rPr>
              <w:t>2、磋商响应供应商必须符合我国采购法所要求的基本资格条件，并满足采购人所提出的特定条件。</w:t>
            </w:r>
          </w:p>
          <w:p>
            <w:pPr>
              <w:tabs>
                <w:tab w:val="left" w:pos="-5801"/>
              </w:tabs>
              <w:spacing w:line="400" w:lineRule="atLeast"/>
              <w:rPr>
                <w:rFonts w:ascii="宋体" w:hAnsi="宋体"/>
                <w:sz w:val="21"/>
                <w:szCs w:val="21"/>
              </w:rPr>
            </w:pPr>
            <w:r>
              <w:rPr>
                <w:rFonts w:hint="eastAsia" w:ascii="宋体" w:hAnsi="宋体"/>
                <w:sz w:val="21"/>
                <w:szCs w:val="21"/>
              </w:rPr>
              <w:t>3、磋商响应供应商购买磋商文件，在规定的时间内递交磋商响应文件，在平等的条件下参加磋商。</w:t>
            </w:r>
          </w:p>
          <w:p>
            <w:pPr>
              <w:tabs>
                <w:tab w:val="left" w:pos="-5801"/>
              </w:tabs>
              <w:spacing w:line="400" w:lineRule="atLeast"/>
              <w:rPr>
                <w:rFonts w:ascii="宋体" w:hAnsi="宋体"/>
                <w:sz w:val="21"/>
                <w:szCs w:val="21"/>
              </w:rPr>
            </w:pPr>
            <w:r>
              <w:rPr>
                <w:rFonts w:hint="eastAsia" w:ascii="宋体" w:hAnsi="宋体"/>
                <w:sz w:val="21"/>
                <w:szCs w:val="21"/>
              </w:rPr>
              <w:t>4、按递交响应文件的签到顺序以随机方式抽取磋商顺序。</w:t>
            </w:r>
          </w:p>
          <w:p>
            <w:pPr>
              <w:tabs>
                <w:tab w:val="left" w:pos="-5801"/>
              </w:tabs>
              <w:spacing w:line="400" w:lineRule="atLeast"/>
              <w:rPr>
                <w:rFonts w:ascii="宋体" w:hAnsi="宋体"/>
                <w:sz w:val="21"/>
                <w:szCs w:val="21"/>
              </w:rPr>
            </w:pPr>
            <w:r>
              <w:rPr>
                <w:rFonts w:hint="eastAsia" w:ascii="宋体" w:hAnsi="宋体"/>
                <w:sz w:val="21"/>
                <w:szCs w:val="21"/>
              </w:rPr>
              <w:t>5、磋商小组审阅磋商文件及磋商响应供应商的磋商响应文件。</w:t>
            </w:r>
          </w:p>
          <w:p>
            <w:pPr>
              <w:tabs>
                <w:tab w:val="left" w:pos="-5801"/>
              </w:tabs>
              <w:spacing w:line="400" w:lineRule="atLeast"/>
              <w:rPr>
                <w:rFonts w:ascii="宋体" w:hAnsi="宋体"/>
                <w:sz w:val="21"/>
                <w:szCs w:val="21"/>
              </w:rPr>
            </w:pPr>
            <w:r>
              <w:rPr>
                <w:rFonts w:hint="eastAsia" w:ascii="宋体" w:hAnsi="宋体"/>
                <w:sz w:val="21"/>
                <w:szCs w:val="21"/>
              </w:rPr>
              <w:t>6、磋商小组对磋商文件和响应文件提出重点的磋商内容。</w:t>
            </w:r>
          </w:p>
          <w:p>
            <w:pPr>
              <w:tabs>
                <w:tab w:val="left" w:pos="-5801"/>
              </w:tabs>
              <w:spacing w:line="400" w:lineRule="atLeast"/>
              <w:rPr>
                <w:rFonts w:ascii="宋体" w:hAnsi="宋体"/>
                <w:sz w:val="21"/>
                <w:szCs w:val="21"/>
              </w:rPr>
            </w:pPr>
            <w:r>
              <w:rPr>
                <w:rFonts w:hint="eastAsia" w:ascii="宋体" w:hAnsi="宋体"/>
                <w:sz w:val="21"/>
                <w:szCs w:val="21"/>
              </w:rPr>
              <w:t>7、按照确定的磋商顺序，磋商小组依次与磋商响应供应商进行“一对一”磋商。</w:t>
            </w:r>
          </w:p>
          <w:p>
            <w:pPr>
              <w:tabs>
                <w:tab w:val="left" w:pos="-5801"/>
              </w:tabs>
              <w:spacing w:line="400" w:lineRule="atLeast"/>
              <w:rPr>
                <w:rFonts w:ascii="宋体" w:hAnsi="宋体"/>
                <w:sz w:val="21"/>
                <w:szCs w:val="21"/>
              </w:rPr>
            </w:pPr>
            <w:r>
              <w:rPr>
                <w:rFonts w:hint="eastAsia" w:ascii="宋体" w:hAnsi="宋体"/>
                <w:sz w:val="21"/>
                <w:szCs w:val="21"/>
              </w:rPr>
              <w:t>8、根据磋商文件的有关规定，组织磋商小组与已递送竞争性磋商响应文件的各磋商响应供应商进行一轮或多轮磋商。</w:t>
            </w:r>
          </w:p>
          <w:p>
            <w:pPr>
              <w:tabs>
                <w:tab w:val="left" w:pos="-5801"/>
              </w:tabs>
              <w:spacing w:line="400" w:lineRule="atLeast"/>
              <w:rPr>
                <w:rFonts w:ascii="宋体" w:hAnsi="宋体"/>
                <w:sz w:val="21"/>
                <w:szCs w:val="21"/>
              </w:rPr>
            </w:pPr>
            <w:r>
              <w:rPr>
                <w:rFonts w:hint="eastAsia" w:ascii="宋体" w:hAnsi="宋体"/>
                <w:sz w:val="21"/>
                <w:szCs w:val="21"/>
              </w:rPr>
              <w:t>9、每轮磋商结束前由磋商小组决定是否需要进行下一轮磋商，如需要进行下一轮磋商，招标代理机构将以书面形式通知磋商响应供应商下一轮磋商的时间。</w:t>
            </w:r>
          </w:p>
          <w:p>
            <w:pPr>
              <w:tabs>
                <w:tab w:val="left" w:pos="-5801"/>
              </w:tabs>
              <w:spacing w:line="400" w:lineRule="atLeast"/>
              <w:rPr>
                <w:rFonts w:ascii="宋体" w:hAnsi="宋体"/>
                <w:sz w:val="21"/>
                <w:szCs w:val="21"/>
              </w:rPr>
            </w:pPr>
            <w:r>
              <w:rPr>
                <w:rFonts w:hint="eastAsia" w:ascii="宋体" w:hAnsi="宋体"/>
                <w:sz w:val="21"/>
                <w:szCs w:val="21"/>
              </w:rPr>
              <w:t>10、在磋商过程中，如果磋商文件有实质性变动的，磋商小组应当以书面形式通知所有参加磋商的磋商响应供应商，以便使每个磋商响应供应商都有同等机会根据修改后的磋商条件提出新的或修改了的报价。</w:t>
            </w:r>
          </w:p>
          <w:p>
            <w:pPr>
              <w:tabs>
                <w:tab w:val="left" w:pos="-5801"/>
              </w:tabs>
              <w:spacing w:line="400" w:lineRule="atLeast"/>
              <w:rPr>
                <w:rFonts w:ascii="宋体" w:hAnsi="宋体"/>
                <w:sz w:val="21"/>
                <w:szCs w:val="21"/>
              </w:rPr>
            </w:pPr>
            <w:r>
              <w:rPr>
                <w:rFonts w:hint="eastAsia" w:ascii="宋体" w:hAnsi="宋体"/>
                <w:sz w:val="21"/>
                <w:szCs w:val="21"/>
              </w:rPr>
              <w:t>11、磋商响应供应商结合磋商小组的要求，根据本公司的实际情况，对响应文件进行补充、修正、承诺等，进行二次报价。</w:t>
            </w:r>
          </w:p>
          <w:p>
            <w:pPr>
              <w:tabs>
                <w:tab w:val="left" w:pos="-5801"/>
              </w:tabs>
              <w:spacing w:line="400" w:lineRule="atLeast"/>
              <w:rPr>
                <w:rFonts w:ascii="宋体" w:hAnsi="宋体"/>
                <w:sz w:val="21"/>
                <w:szCs w:val="21"/>
              </w:rPr>
            </w:pPr>
            <w:r>
              <w:rPr>
                <w:rFonts w:hint="eastAsia" w:ascii="宋体" w:hAnsi="宋体"/>
                <w:sz w:val="21"/>
                <w:szCs w:val="21"/>
              </w:rPr>
              <w:t>12、磋商响应供应商递交的响应文件补充、修正、承诺、最终报价函应予密封并交至（厦门市思明区莲岳路221-1号公交大厦1号楼6楼），招标代理机构工作人员在收齐全部磋商响应供应商材料后，统一送达磋商小组，在磋商小组的监督下的当众开封、宣读。</w:t>
            </w:r>
          </w:p>
          <w:p>
            <w:pPr>
              <w:tabs>
                <w:tab w:val="left" w:pos="-5801"/>
              </w:tabs>
              <w:spacing w:line="400" w:lineRule="atLeast"/>
              <w:rPr>
                <w:rFonts w:ascii="宋体" w:hAnsi="宋体"/>
                <w:sz w:val="21"/>
                <w:szCs w:val="21"/>
              </w:rPr>
            </w:pPr>
            <w:r>
              <w:rPr>
                <w:rFonts w:hint="eastAsia" w:ascii="宋体" w:hAnsi="宋体"/>
                <w:sz w:val="21"/>
                <w:szCs w:val="21"/>
              </w:rPr>
              <w:t>13、磋商小组对各磋商响应供应商的技术、商务和价格进行评议和比较。</w:t>
            </w:r>
          </w:p>
          <w:p>
            <w:pPr>
              <w:tabs>
                <w:tab w:val="left" w:pos="-5801"/>
              </w:tabs>
              <w:spacing w:line="400" w:lineRule="atLeast"/>
              <w:rPr>
                <w:rFonts w:ascii="宋体" w:hAnsi="宋体"/>
                <w:sz w:val="21"/>
                <w:szCs w:val="21"/>
              </w:rPr>
            </w:pPr>
            <w:r>
              <w:rPr>
                <w:rFonts w:hint="eastAsia" w:ascii="宋体" w:hAnsi="宋体"/>
                <w:sz w:val="21"/>
                <w:szCs w:val="21"/>
              </w:rPr>
              <w:t>14、磋商小组根据成交规则推荐预磋商成交供应商。</w:t>
            </w:r>
          </w:p>
          <w:p>
            <w:pPr>
              <w:tabs>
                <w:tab w:val="left" w:pos="-5801"/>
              </w:tabs>
              <w:spacing w:line="400" w:lineRule="atLeast"/>
              <w:rPr>
                <w:rFonts w:ascii="宋体" w:hAnsi="宋体"/>
                <w:sz w:val="21"/>
                <w:szCs w:val="21"/>
              </w:rPr>
            </w:pPr>
            <w:r>
              <w:rPr>
                <w:rFonts w:hint="eastAsia" w:ascii="宋体" w:hAnsi="宋体"/>
                <w:sz w:val="21"/>
                <w:szCs w:val="21"/>
              </w:rPr>
              <w:t>15、招标代理机构将成交结果以网上公告的形式通知所有参加磋商的磋商响应供应商。</w:t>
            </w:r>
          </w:p>
          <w:p>
            <w:pPr>
              <w:tabs>
                <w:tab w:val="left" w:pos="-5801"/>
              </w:tabs>
              <w:spacing w:line="400" w:lineRule="atLeast"/>
              <w:rPr>
                <w:rFonts w:ascii="宋体" w:hAnsi="宋体"/>
                <w:sz w:val="21"/>
                <w:szCs w:val="21"/>
              </w:rPr>
            </w:pPr>
            <w:r>
              <w:rPr>
                <w:rFonts w:hint="eastAsia" w:ascii="宋体" w:hAnsi="宋体"/>
                <w:sz w:val="21"/>
                <w:szCs w:val="21"/>
              </w:rPr>
              <w:t>16、在磋商中，采购人、招标代理机构和磋商响应供应商要严格遵循保密的原则，任何一方不得向其他磋商响应供应商透露与磋商有关的其他磋商响应供应商的技术资料、价格和其他信息。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7</w:t>
            </w:r>
          </w:p>
        </w:tc>
        <w:tc>
          <w:tcPr>
            <w:tcW w:w="8354" w:type="dxa"/>
            <w:tcMar>
              <w:top w:w="85" w:type="dxa"/>
              <w:left w:w="57" w:type="dxa"/>
              <w:bottom w:w="85" w:type="dxa"/>
              <w:right w:w="57" w:type="dxa"/>
            </w:tcMar>
            <w:vAlign w:val="center"/>
          </w:tcPr>
          <w:p>
            <w:pPr>
              <w:tabs>
                <w:tab w:val="left" w:pos="1080"/>
              </w:tabs>
              <w:spacing w:line="500" w:lineRule="exact"/>
              <w:rPr>
                <w:rFonts w:ascii="宋体" w:hAnsi="宋体"/>
                <w:sz w:val="21"/>
                <w:szCs w:val="21"/>
              </w:rPr>
            </w:pPr>
            <w:r>
              <w:rPr>
                <w:rFonts w:hint="eastAsia" w:ascii="宋体" w:hAnsi="宋体"/>
                <w:sz w:val="21"/>
                <w:szCs w:val="21"/>
              </w:rPr>
              <w:t>磋商内容：</w:t>
            </w:r>
          </w:p>
          <w:p>
            <w:pPr>
              <w:spacing w:line="400" w:lineRule="atLeast"/>
              <w:rPr>
                <w:rFonts w:ascii="宋体" w:hAnsi="宋体"/>
                <w:sz w:val="21"/>
                <w:szCs w:val="21"/>
              </w:rPr>
            </w:pPr>
            <w:r>
              <w:rPr>
                <w:rFonts w:hint="eastAsia" w:ascii="宋体" w:hAnsi="宋体"/>
                <w:sz w:val="21"/>
                <w:szCs w:val="21"/>
              </w:rPr>
              <w:t>1、技术方案、技术要求的响应、优化程度、工期进度；</w:t>
            </w:r>
          </w:p>
          <w:p>
            <w:pPr>
              <w:spacing w:line="400" w:lineRule="atLeast"/>
              <w:rPr>
                <w:rFonts w:ascii="宋体" w:hAnsi="宋体"/>
                <w:sz w:val="21"/>
                <w:szCs w:val="21"/>
              </w:rPr>
            </w:pPr>
            <w:r>
              <w:rPr>
                <w:rFonts w:hint="eastAsia" w:ascii="宋体" w:hAnsi="宋体"/>
                <w:sz w:val="21"/>
                <w:szCs w:val="21"/>
              </w:rPr>
              <w:t>2、商务响应情况，质量保证期，售后服务承诺等；</w:t>
            </w:r>
          </w:p>
          <w:p>
            <w:pPr>
              <w:spacing w:line="400" w:lineRule="atLeast"/>
              <w:rPr>
                <w:rFonts w:ascii="宋体" w:hAnsi="宋体"/>
                <w:sz w:val="21"/>
                <w:szCs w:val="21"/>
              </w:rPr>
            </w:pPr>
            <w:r>
              <w:rPr>
                <w:rFonts w:hint="eastAsia" w:ascii="宋体" w:hAnsi="宋体"/>
                <w:sz w:val="21"/>
                <w:szCs w:val="21"/>
              </w:rPr>
              <w:t>3、磋商初始报价及磋商最后报价；</w:t>
            </w:r>
          </w:p>
          <w:p>
            <w:pPr>
              <w:spacing w:line="400" w:lineRule="atLeast"/>
              <w:rPr>
                <w:rFonts w:ascii="宋体" w:hAnsi="宋体"/>
                <w:sz w:val="21"/>
                <w:szCs w:val="21"/>
              </w:rPr>
            </w:pPr>
            <w:r>
              <w:rPr>
                <w:rFonts w:hint="eastAsia" w:ascii="宋体" w:hAnsi="宋体"/>
                <w:sz w:val="21"/>
                <w:szCs w:val="21"/>
              </w:rPr>
              <w:t>4、其他磋商文件要求的因素。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8</w:t>
            </w:r>
          </w:p>
        </w:tc>
        <w:tc>
          <w:tcPr>
            <w:tcW w:w="8354" w:type="dxa"/>
            <w:tcMar>
              <w:top w:w="85" w:type="dxa"/>
              <w:left w:w="57" w:type="dxa"/>
              <w:bottom w:w="85" w:type="dxa"/>
              <w:right w:w="57" w:type="dxa"/>
            </w:tcMar>
            <w:vAlign w:val="center"/>
          </w:tcPr>
          <w:p>
            <w:pPr>
              <w:adjustRightInd w:val="0"/>
              <w:spacing w:line="360" w:lineRule="auto"/>
              <w:rPr>
                <w:rFonts w:ascii="宋体" w:hAnsi="宋体"/>
                <w:sz w:val="21"/>
                <w:szCs w:val="21"/>
              </w:rPr>
            </w:pPr>
            <w:r>
              <w:rPr>
                <w:rFonts w:hint="eastAsia" w:ascii="宋体" w:hAnsi="宋体"/>
                <w:sz w:val="21"/>
                <w:szCs w:val="21"/>
              </w:rPr>
              <w:t>采购文件★条款要求汇总如下：/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9</w:t>
            </w:r>
          </w:p>
        </w:tc>
        <w:tc>
          <w:tcPr>
            <w:tcW w:w="8354" w:type="dxa"/>
            <w:tcMar>
              <w:top w:w="85" w:type="dxa"/>
              <w:left w:w="57" w:type="dxa"/>
              <w:bottom w:w="85" w:type="dxa"/>
              <w:right w:w="57" w:type="dxa"/>
            </w:tcMar>
            <w:vAlign w:val="center"/>
          </w:tcPr>
          <w:p>
            <w:pPr>
              <w:spacing w:line="400" w:lineRule="atLeast"/>
              <w:rPr>
                <w:rFonts w:ascii="宋体" w:hAnsi="宋体"/>
                <w:sz w:val="21"/>
                <w:szCs w:val="21"/>
              </w:rPr>
            </w:pPr>
            <w:r>
              <w:rPr>
                <w:rFonts w:hint="eastAsia" w:ascii="宋体" w:hAnsi="宋体"/>
                <w:sz w:val="21"/>
                <w:szCs w:val="21"/>
              </w:rPr>
              <w:t>评审具体方法和标准：</w:t>
            </w:r>
          </w:p>
          <w:p>
            <w:pPr>
              <w:spacing w:line="400" w:lineRule="atLeast"/>
              <w:rPr>
                <w:rFonts w:ascii="宋体" w:hAnsi="宋体"/>
                <w:sz w:val="21"/>
                <w:szCs w:val="21"/>
              </w:rPr>
            </w:pPr>
            <w:r>
              <w:rPr>
                <w:rFonts w:hint="eastAsia" w:ascii="宋体" w:hAnsi="宋体"/>
                <w:sz w:val="21"/>
                <w:szCs w:val="21"/>
              </w:rPr>
              <w:t>一、对所有磋商响应供应商的磋商响应文件评审，都采用相同的程序和标准。首先，由磋商小组根据磋商文件要求(无效响应界定)，审核各磋商响应文件是否合格、有效，凡不符合专业条件要求和未实质性响应磋商文件要求且经磋商后未能提供实质性响应材料的均不进入评分程序。</w:t>
            </w:r>
          </w:p>
          <w:p>
            <w:pPr>
              <w:spacing w:line="360" w:lineRule="auto"/>
              <w:rPr>
                <w:rFonts w:ascii="宋体" w:hAnsi="宋体"/>
                <w:sz w:val="21"/>
                <w:szCs w:val="21"/>
              </w:rPr>
            </w:pPr>
            <w:r>
              <w:rPr>
                <w:rFonts w:hint="eastAsia" w:ascii="宋体" w:hAnsi="宋体"/>
                <w:sz w:val="21"/>
                <w:szCs w:val="21"/>
              </w:rPr>
              <w:t>二、磋商小组对通过以上审核的有效磋商响应供应商进行评审和推荐，</w:t>
            </w:r>
          </w:p>
          <w:p>
            <w:pPr>
              <w:spacing w:line="400" w:lineRule="atLeast"/>
              <w:ind w:firstLine="420" w:firstLineChars="200"/>
              <w:rPr>
                <w:rFonts w:ascii="宋体" w:hAnsi="宋体"/>
                <w:sz w:val="21"/>
                <w:szCs w:val="21"/>
              </w:rPr>
            </w:pPr>
            <w:r>
              <w:rPr>
                <w:rFonts w:hint="eastAsia" w:ascii="宋体" w:hAnsi="宋体"/>
                <w:sz w:val="21"/>
                <w:szCs w:val="21"/>
              </w:rPr>
              <w:t>（1）按综合评分法进行评审，首先根据下列商务、技术因素评分。若磋商小组人数为3人，在对评委商务、技术部分评分结果统计时，以算术平均计算各有效磋商响应供应商的商务、技术最终得分；若磋商小组人数大于3人，在对评委商务、技术部分评分结果统计时，将去掉一个最高分与一个最低分后再行算术平均计算各有效磋商响应供应商的商务、技术最终得分。</w:t>
            </w:r>
          </w:p>
          <w:p>
            <w:pPr>
              <w:spacing w:line="400" w:lineRule="atLeast"/>
              <w:ind w:firstLine="420" w:firstLineChars="200"/>
              <w:rPr>
                <w:rFonts w:ascii="宋体" w:hAnsi="宋体"/>
                <w:sz w:val="21"/>
                <w:szCs w:val="21"/>
              </w:rPr>
            </w:pPr>
            <w:r>
              <w:rPr>
                <w:rFonts w:hint="eastAsia" w:ascii="宋体" w:hAnsi="宋体"/>
                <w:sz w:val="21"/>
                <w:szCs w:val="21"/>
              </w:rPr>
              <w:t>（2）对</w:t>
            </w:r>
            <w:r>
              <w:rPr>
                <w:rFonts w:ascii="宋体" w:hAnsi="宋体"/>
                <w:sz w:val="21"/>
                <w:szCs w:val="21"/>
              </w:rPr>
              <w:t>实质性响应磋商文件，</w:t>
            </w:r>
            <w:r>
              <w:rPr>
                <w:rFonts w:hint="eastAsia" w:ascii="宋体" w:hAnsi="宋体"/>
                <w:sz w:val="21"/>
                <w:szCs w:val="21"/>
              </w:rPr>
              <w:t>最终按照综合得分（满分为100分）由高到低进行排序（综合得分相同的，按照最后报价由低到高；综合得分及最后报价均相同的，按照技术得分由高到低；若还是无法区分排序的，由磋商小组投票表决确定排序），根据以上顺序排列推荐磋商成交供应商的成交候选顺序）。</w:t>
            </w:r>
          </w:p>
          <w:p>
            <w:pPr>
              <w:spacing w:line="400" w:lineRule="atLeast"/>
              <w:rPr>
                <w:rFonts w:ascii="宋体" w:hAnsi="宋体"/>
                <w:sz w:val="21"/>
                <w:szCs w:val="21"/>
              </w:rPr>
            </w:pPr>
            <w:r>
              <w:rPr>
                <w:rFonts w:hint="eastAsia" w:ascii="宋体" w:hAnsi="宋体"/>
                <w:sz w:val="21"/>
                <w:szCs w:val="21"/>
              </w:rPr>
              <w:t>1、技术评分F1（满分55分），</w:t>
            </w:r>
            <w:r>
              <w:rPr>
                <w:rFonts w:hint="eastAsia" w:ascii="宋体" w:hAnsi="宋体"/>
                <w:b/>
                <w:bCs/>
                <w:sz w:val="21"/>
                <w:szCs w:val="21"/>
              </w:rPr>
              <w:t>若磋商响应供应商技术因素分实际得分少于采购文件设定的技术部分总分50%的，可作无效响应文件处理。</w:t>
            </w:r>
          </w:p>
          <w:tbl>
            <w:tblPr>
              <w:tblStyle w:val="24"/>
              <w:tblW w:w="8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512"/>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780" w:type="dxa"/>
                  <w:vAlign w:val="center"/>
                </w:tcPr>
                <w:p>
                  <w:pPr>
                    <w:tabs>
                      <w:tab w:val="left" w:pos="-1080"/>
                      <w:tab w:val="left" w:pos="180"/>
                      <w:tab w:val="left" w:pos="1080"/>
                    </w:tabs>
                    <w:spacing w:line="360" w:lineRule="auto"/>
                    <w:jc w:val="center"/>
                    <w:rPr>
                      <w:rFonts w:ascii="宋体" w:hAnsi="宋体"/>
                      <w:b/>
                      <w:bCs/>
                      <w:sz w:val="21"/>
                      <w:szCs w:val="21"/>
                    </w:rPr>
                  </w:pPr>
                  <w:r>
                    <w:rPr>
                      <w:rFonts w:ascii="宋体" w:hAnsi="宋体"/>
                      <w:b/>
                      <w:bCs/>
                      <w:sz w:val="21"/>
                      <w:szCs w:val="21"/>
                    </w:rPr>
                    <w:t>序号</w:t>
                  </w:r>
                </w:p>
              </w:tc>
              <w:tc>
                <w:tcPr>
                  <w:tcW w:w="6512" w:type="dxa"/>
                  <w:vAlign w:val="center"/>
                </w:tcPr>
                <w:p>
                  <w:pPr>
                    <w:tabs>
                      <w:tab w:val="left" w:pos="-1080"/>
                      <w:tab w:val="left" w:pos="180"/>
                      <w:tab w:val="left" w:pos="1080"/>
                    </w:tabs>
                    <w:spacing w:line="360" w:lineRule="auto"/>
                    <w:jc w:val="center"/>
                    <w:rPr>
                      <w:rFonts w:ascii="宋体" w:hAnsi="宋体"/>
                      <w:b/>
                      <w:bCs/>
                      <w:sz w:val="21"/>
                      <w:szCs w:val="21"/>
                    </w:rPr>
                  </w:pPr>
                  <w:r>
                    <w:rPr>
                      <w:rFonts w:hint="eastAsia" w:ascii="宋体" w:hAnsi="宋体"/>
                      <w:b/>
                      <w:bCs/>
                      <w:sz w:val="21"/>
                      <w:szCs w:val="21"/>
                    </w:rPr>
                    <w:t>细则内容</w:t>
                  </w:r>
                </w:p>
              </w:tc>
              <w:tc>
                <w:tcPr>
                  <w:tcW w:w="761" w:type="dxa"/>
                  <w:vAlign w:val="center"/>
                </w:tcPr>
                <w:p>
                  <w:pPr>
                    <w:tabs>
                      <w:tab w:val="left" w:pos="-1080"/>
                      <w:tab w:val="left" w:pos="180"/>
                      <w:tab w:val="left" w:pos="1080"/>
                    </w:tabs>
                    <w:spacing w:line="360" w:lineRule="auto"/>
                    <w:jc w:val="center"/>
                    <w:rPr>
                      <w:rFonts w:ascii="宋体" w:hAnsi="宋体"/>
                      <w:b/>
                      <w:bCs/>
                      <w:sz w:val="21"/>
                      <w:szCs w:val="21"/>
                    </w:rPr>
                  </w:pPr>
                  <w:r>
                    <w:rPr>
                      <w:rFonts w:ascii="宋体" w:hAnsi="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tblHeader/>
                <w:jc w:val="center"/>
              </w:trPr>
              <w:tc>
                <w:tcPr>
                  <w:tcW w:w="780" w:type="dxa"/>
                  <w:vAlign w:val="center"/>
                </w:tcPr>
                <w:p>
                  <w:pPr>
                    <w:tabs>
                      <w:tab w:val="left" w:pos="-1080"/>
                      <w:tab w:val="left" w:pos="180"/>
                      <w:tab w:val="left" w:pos="1080"/>
                    </w:tabs>
                    <w:spacing w:line="360" w:lineRule="auto"/>
                    <w:jc w:val="center"/>
                    <w:rPr>
                      <w:rFonts w:ascii="宋体" w:hAnsi="宋体"/>
                      <w:sz w:val="21"/>
                      <w:szCs w:val="21"/>
                    </w:rPr>
                  </w:pPr>
                  <w:r>
                    <w:rPr>
                      <w:rFonts w:hint="eastAsia" w:ascii="宋体" w:hAnsi="宋体"/>
                      <w:sz w:val="21"/>
                      <w:szCs w:val="21"/>
                    </w:rPr>
                    <w:t>1-1</w:t>
                  </w:r>
                </w:p>
              </w:tc>
              <w:tc>
                <w:tcPr>
                  <w:tcW w:w="6512" w:type="dxa"/>
                  <w:vAlign w:val="center"/>
                </w:tcPr>
                <w:p>
                  <w:pPr>
                    <w:snapToGrid w:val="0"/>
                    <w:spacing w:line="400" w:lineRule="exact"/>
                    <w:jc w:val="left"/>
                    <w:rPr>
                      <w:rFonts w:asciiTheme="minorEastAsia" w:hAnsiTheme="minorEastAsia" w:cstheme="minorEastAsia"/>
                      <w:sz w:val="24"/>
                    </w:rPr>
                  </w:pPr>
                  <w:r>
                    <w:rPr>
                      <w:rFonts w:hint="eastAsia" w:ascii="宋体" w:hAnsi="宋体" w:cs="宋体"/>
                      <w:sz w:val="21"/>
                      <w:szCs w:val="21"/>
                    </w:rPr>
                    <w:t>根据供应商对项目的了解情况，以及项目实施重点及难点分析解决措施进行评价：供应商对项目充分了解，对项目实施重点难点分析要点齐全、详细完整，解决措施合理可行的得3分；供应商对项目较了解，对项目实施重点难点分析不足，但不影响项目整体实施的得1分；不可行或未提供不得分。</w:t>
                  </w:r>
                </w:p>
              </w:tc>
              <w:tc>
                <w:tcPr>
                  <w:tcW w:w="761" w:type="dxa"/>
                  <w:vAlign w:val="center"/>
                </w:tcPr>
                <w:p>
                  <w:pPr>
                    <w:snapToGrid w:val="0"/>
                    <w:spacing w:line="400" w:lineRule="exact"/>
                    <w:jc w:val="center"/>
                    <w:rPr>
                      <w:rFonts w:ascii="宋体" w:hAnsi="宋体"/>
                      <w:sz w:val="24"/>
                    </w:rPr>
                  </w:pPr>
                  <w:r>
                    <w:rPr>
                      <w:rFonts w:hint="eastAsia" w:ascii="宋体" w:hAnsi="宋体" w:cs="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780" w:type="dxa"/>
                  <w:vAlign w:val="center"/>
                </w:tcPr>
                <w:p>
                  <w:pPr>
                    <w:tabs>
                      <w:tab w:val="left" w:pos="-1080"/>
                      <w:tab w:val="left" w:pos="180"/>
                      <w:tab w:val="left" w:pos="1080"/>
                    </w:tabs>
                    <w:spacing w:line="360" w:lineRule="auto"/>
                    <w:jc w:val="center"/>
                    <w:rPr>
                      <w:rFonts w:ascii="宋体" w:hAnsi="宋体"/>
                      <w:sz w:val="21"/>
                      <w:szCs w:val="21"/>
                    </w:rPr>
                  </w:pPr>
                  <w:r>
                    <w:rPr>
                      <w:rFonts w:hint="eastAsia" w:ascii="宋体" w:hAnsi="宋体"/>
                      <w:sz w:val="21"/>
                      <w:szCs w:val="21"/>
                    </w:rPr>
                    <w:t>1-2</w:t>
                  </w:r>
                </w:p>
              </w:tc>
              <w:tc>
                <w:tcPr>
                  <w:tcW w:w="6512" w:type="dxa"/>
                  <w:vAlign w:val="center"/>
                </w:tcPr>
                <w:p>
                  <w:pPr>
                    <w:snapToGrid w:val="0"/>
                    <w:spacing w:line="400" w:lineRule="exact"/>
                    <w:jc w:val="left"/>
                    <w:rPr>
                      <w:rFonts w:ascii="宋体" w:hAnsi="宋体" w:cs="宋体"/>
                      <w:sz w:val="21"/>
                      <w:szCs w:val="21"/>
                    </w:rPr>
                  </w:pPr>
                  <w:r>
                    <w:rPr>
                      <w:rFonts w:hint="eastAsia" w:ascii="宋体" w:hAnsi="宋体" w:cs="宋体"/>
                      <w:sz w:val="21"/>
                      <w:szCs w:val="21"/>
                    </w:rPr>
                    <w:t>根据供应商对本项目总体方案及现实情况进行评价：方案描述完整详尽，方案理解到位，符合采购人实际要求及有利于项目实施得3分；对项目理解能满足要求，但是描述内容较简单，不影响整体项目实施的得1分；对项目理解不到位或未提供描述的不得分。</w:t>
                  </w:r>
                </w:p>
              </w:tc>
              <w:tc>
                <w:tcPr>
                  <w:tcW w:w="761" w:type="dxa"/>
                  <w:vAlign w:val="center"/>
                </w:tcPr>
                <w:p>
                  <w:pPr>
                    <w:snapToGrid w:val="0"/>
                    <w:spacing w:line="400" w:lineRule="exact"/>
                    <w:jc w:val="center"/>
                    <w:rPr>
                      <w:rFonts w:ascii="宋体" w:hAnsi="宋体"/>
                      <w:sz w:val="24"/>
                    </w:rPr>
                  </w:pPr>
                  <w:r>
                    <w:rPr>
                      <w:rFonts w:hint="eastAsia" w:ascii="宋体" w:hAnsi="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0" w:type="dxa"/>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1-3</w:t>
                  </w:r>
                </w:p>
              </w:tc>
              <w:tc>
                <w:tcPr>
                  <w:tcW w:w="6512" w:type="dxa"/>
                  <w:vAlign w:val="center"/>
                </w:tcPr>
                <w:p>
                  <w:pPr>
                    <w:snapToGrid w:val="0"/>
                    <w:spacing w:line="400" w:lineRule="exact"/>
                    <w:jc w:val="left"/>
                    <w:rPr>
                      <w:rFonts w:ascii="宋体" w:hAnsi="宋体" w:cs="宋体"/>
                      <w:sz w:val="21"/>
                      <w:szCs w:val="21"/>
                    </w:rPr>
                  </w:pPr>
                  <w:r>
                    <w:rPr>
                      <w:rFonts w:hint="eastAsia" w:ascii="宋体" w:hAnsi="宋体" w:cs="宋体"/>
                      <w:sz w:val="21"/>
                      <w:szCs w:val="21"/>
                    </w:rPr>
                    <w:t>根据供应商现场踏勘报告内容（施工现场情况的图片、文字说明、施工的重点、难点及问题的解决方法）进行评价：踏勘报告详细、施工的重点难点符合现场实际情况且解决措施合理得3分；踏勘报告基本与实际情况符合，但施工重点难点描述基本符合现场实际情况得2分；踏勘报告较简单，施工重点难点不够突出或解决措施不够合理或有缺漏得1分；未提供报告不得分。</w:t>
                  </w:r>
                </w:p>
              </w:tc>
              <w:tc>
                <w:tcPr>
                  <w:tcW w:w="761" w:type="dxa"/>
                  <w:vAlign w:val="center"/>
                </w:tcPr>
                <w:p>
                  <w:pPr>
                    <w:spacing w:line="400" w:lineRule="exact"/>
                    <w:jc w:val="center"/>
                    <w:rPr>
                      <w:rFonts w:ascii="宋体" w:hAnsi="宋体" w:cs="宋体"/>
                      <w:sz w:val="21"/>
                      <w:szCs w:val="21"/>
                    </w:rPr>
                  </w:pPr>
                  <w:r>
                    <w:rPr>
                      <w:rFonts w:hint="eastAsia" w:ascii="宋体" w:hAnsi="宋体" w:cs="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0" w:type="dxa"/>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1-4</w:t>
                  </w:r>
                </w:p>
              </w:tc>
              <w:tc>
                <w:tcPr>
                  <w:tcW w:w="6512" w:type="dxa"/>
                </w:tcPr>
                <w:p>
                  <w:pPr>
                    <w:snapToGrid w:val="0"/>
                    <w:spacing w:line="400" w:lineRule="exact"/>
                    <w:jc w:val="left"/>
                    <w:rPr>
                      <w:rFonts w:ascii="宋体" w:hAnsi="宋体" w:cs="宋体"/>
                      <w:sz w:val="21"/>
                      <w:szCs w:val="21"/>
                    </w:rPr>
                  </w:pPr>
                  <w:r>
                    <w:rPr>
                      <w:rFonts w:hint="eastAsia" w:ascii="宋体" w:hAnsi="宋体" w:cs="宋体"/>
                      <w:sz w:val="21"/>
                      <w:szCs w:val="21"/>
                    </w:rPr>
                    <w:t>根据供应商提供的实施方案内容需涉及</w:t>
                  </w:r>
                  <w:r>
                    <w:rPr>
                      <w:rFonts w:hint="eastAsia" w:ascii="宋体" w:hAnsi="宋体" w:cs="宋体"/>
                      <w:sz w:val="21"/>
                      <w:szCs w:val="21"/>
                    </w:rPr>
                    <w:fldChar w:fldCharType="begin"/>
                  </w:r>
                  <w:r>
                    <w:rPr>
                      <w:rFonts w:hint="eastAsia" w:ascii="宋体" w:hAnsi="宋体" w:cs="宋体"/>
                      <w:sz w:val="21"/>
                      <w:szCs w:val="21"/>
                    </w:rPr>
                    <w:instrText xml:space="preserve"> = 1 \* GB3 \* MERGEFORMAT </w:instrText>
                  </w:r>
                  <w:r>
                    <w:rPr>
                      <w:rFonts w:hint="eastAsia" w:ascii="宋体" w:hAnsi="宋体" w:cs="宋体"/>
                      <w:sz w:val="21"/>
                      <w:szCs w:val="21"/>
                    </w:rPr>
                    <w:fldChar w:fldCharType="separate"/>
                  </w:r>
                  <w:r>
                    <w:rPr>
                      <w:rFonts w:hint="eastAsia" w:ascii="宋体" w:hAnsi="宋体" w:cs="宋体"/>
                      <w:sz w:val="21"/>
                      <w:szCs w:val="21"/>
                    </w:rPr>
                    <w:t>①</w:t>
                  </w:r>
                  <w:r>
                    <w:rPr>
                      <w:rFonts w:hint="eastAsia" w:ascii="宋体" w:hAnsi="宋体" w:cs="宋体"/>
                      <w:sz w:val="21"/>
                      <w:szCs w:val="21"/>
                    </w:rPr>
                    <w:fldChar w:fldCharType="end"/>
                  </w:r>
                  <w:r>
                    <w:rPr>
                      <w:rFonts w:hint="eastAsia" w:ascii="宋体" w:hAnsi="宋体" w:cs="宋体"/>
                      <w:sz w:val="21"/>
                      <w:szCs w:val="21"/>
                    </w:rPr>
                    <w:t>设备接线图、</w:t>
                  </w:r>
                  <w:r>
                    <w:rPr>
                      <w:rFonts w:hint="eastAsia" w:ascii="宋体" w:hAnsi="宋体" w:cs="宋体"/>
                      <w:sz w:val="21"/>
                      <w:szCs w:val="21"/>
                    </w:rPr>
                    <w:fldChar w:fldCharType="begin"/>
                  </w:r>
                  <w:r>
                    <w:rPr>
                      <w:rFonts w:hint="eastAsia" w:ascii="宋体" w:hAnsi="宋体" w:cs="宋体"/>
                      <w:sz w:val="21"/>
                      <w:szCs w:val="21"/>
                    </w:rPr>
                    <w:instrText xml:space="preserve"> = 2 \* GB3 \* MERGEFORMAT </w:instrText>
                  </w:r>
                  <w:r>
                    <w:rPr>
                      <w:rFonts w:hint="eastAsia" w:ascii="宋体" w:hAnsi="宋体" w:cs="宋体"/>
                      <w:sz w:val="21"/>
                      <w:szCs w:val="21"/>
                    </w:rPr>
                    <w:fldChar w:fldCharType="separate"/>
                  </w:r>
                  <w:r>
                    <w:rPr>
                      <w:rFonts w:hint="eastAsia" w:ascii="宋体" w:hAnsi="宋体" w:cs="宋体"/>
                      <w:sz w:val="21"/>
                      <w:szCs w:val="21"/>
                    </w:rPr>
                    <w:t>②</w:t>
                  </w:r>
                  <w:r>
                    <w:rPr>
                      <w:rFonts w:hint="eastAsia" w:ascii="宋体" w:hAnsi="宋体" w:cs="宋体"/>
                      <w:sz w:val="21"/>
                      <w:szCs w:val="21"/>
                    </w:rPr>
                    <w:fldChar w:fldCharType="end"/>
                  </w:r>
                  <w:r>
                    <w:rPr>
                      <w:rFonts w:hint="eastAsia" w:ascii="宋体" w:hAnsi="宋体" w:cs="宋体"/>
                      <w:sz w:val="21"/>
                      <w:szCs w:val="21"/>
                    </w:rPr>
                    <w:t>供货方案、</w:t>
                  </w:r>
                  <w:r>
                    <w:rPr>
                      <w:rFonts w:hint="eastAsia" w:ascii="宋体" w:hAnsi="宋体" w:cs="宋体"/>
                      <w:sz w:val="21"/>
                      <w:szCs w:val="21"/>
                    </w:rPr>
                    <w:fldChar w:fldCharType="begin"/>
                  </w:r>
                  <w:r>
                    <w:rPr>
                      <w:rFonts w:hint="eastAsia" w:ascii="宋体" w:hAnsi="宋体" w:cs="宋体"/>
                      <w:sz w:val="21"/>
                      <w:szCs w:val="21"/>
                    </w:rPr>
                    <w:instrText xml:space="preserve"> = 3 \* GB3 \* MERGEFORMAT </w:instrText>
                  </w:r>
                  <w:r>
                    <w:rPr>
                      <w:rFonts w:hint="eastAsia" w:ascii="宋体" w:hAnsi="宋体" w:cs="宋体"/>
                      <w:sz w:val="21"/>
                      <w:szCs w:val="21"/>
                    </w:rPr>
                    <w:fldChar w:fldCharType="separate"/>
                  </w:r>
                  <w:r>
                    <w:rPr>
                      <w:rFonts w:hint="eastAsia" w:ascii="宋体" w:hAnsi="宋体" w:cs="宋体"/>
                      <w:sz w:val="21"/>
                      <w:szCs w:val="21"/>
                    </w:rPr>
                    <w:t>③</w:t>
                  </w:r>
                  <w:r>
                    <w:rPr>
                      <w:rFonts w:hint="eastAsia" w:ascii="宋体" w:hAnsi="宋体" w:cs="宋体"/>
                      <w:sz w:val="21"/>
                      <w:szCs w:val="21"/>
                    </w:rPr>
                    <w:fldChar w:fldCharType="end"/>
                  </w:r>
                  <w:r>
                    <w:rPr>
                      <w:rFonts w:hint="eastAsia" w:ascii="宋体" w:hAnsi="宋体" w:cs="宋体"/>
                      <w:sz w:val="21"/>
                      <w:szCs w:val="21"/>
                    </w:rPr>
                    <w:t>技术服务方案、</w:t>
                  </w:r>
                  <w:r>
                    <w:rPr>
                      <w:rFonts w:hint="eastAsia" w:ascii="宋体" w:hAnsi="宋体" w:cs="宋体"/>
                      <w:sz w:val="21"/>
                      <w:szCs w:val="21"/>
                    </w:rPr>
                    <w:fldChar w:fldCharType="begin"/>
                  </w:r>
                  <w:r>
                    <w:rPr>
                      <w:rFonts w:hint="eastAsia" w:ascii="宋体" w:hAnsi="宋体" w:cs="宋体"/>
                      <w:sz w:val="21"/>
                      <w:szCs w:val="21"/>
                    </w:rPr>
                    <w:instrText xml:space="preserve"> = 4 \* GB3 \* MERGEFORMAT </w:instrText>
                  </w:r>
                  <w:r>
                    <w:rPr>
                      <w:rFonts w:hint="eastAsia" w:ascii="宋体" w:hAnsi="宋体" w:cs="宋体"/>
                      <w:sz w:val="21"/>
                      <w:szCs w:val="21"/>
                    </w:rPr>
                    <w:fldChar w:fldCharType="separate"/>
                  </w:r>
                  <w:r>
                    <w:rPr>
                      <w:rFonts w:hint="eastAsia" w:ascii="宋体" w:hAnsi="宋体" w:cs="宋体"/>
                      <w:sz w:val="21"/>
                      <w:szCs w:val="21"/>
                    </w:rPr>
                    <w:t>④</w:t>
                  </w:r>
                  <w:r>
                    <w:rPr>
                      <w:rFonts w:hint="eastAsia" w:ascii="宋体" w:hAnsi="宋体" w:cs="宋体"/>
                      <w:sz w:val="21"/>
                      <w:szCs w:val="21"/>
                    </w:rPr>
                    <w:fldChar w:fldCharType="end"/>
                  </w:r>
                  <w:r>
                    <w:rPr>
                      <w:rFonts w:hint="eastAsia" w:ascii="宋体" w:hAnsi="宋体" w:cs="宋体"/>
                      <w:sz w:val="21"/>
                      <w:szCs w:val="21"/>
                    </w:rPr>
                    <w:t>质量保证措施方面的情况进行评价：实施方案齐全提供上述的</w:t>
                  </w:r>
                  <w:r>
                    <w:rPr>
                      <w:rFonts w:hint="eastAsia" w:ascii="宋体" w:hAnsi="宋体" w:cs="宋体"/>
                      <w:sz w:val="21"/>
                      <w:szCs w:val="21"/>
                    </w:rPr>
                    <w:fldChar w:fldCharType="begin"/>
                  </w:r>
                  <w:r>
                    <w:rPr>
                      <w:rFonts w:hint="eastAsia" w:ascii="宋体" w:hAnsi="宋体" w:cs="宋体"/>
                      <w:sz w:val="21"/>
                      <w:szCs w:val="21"/>
                    </w:rPr>
                    <w:instrText xml:space="preserve"> = 1 \* GB3 \* MERGEFORMAT </w:instrText>
                  </w:r>
                  <w:r>
                    <w:rPr>
                      <w:rFonts w:hint="eastAsia" w:ascii="宋体" w:hAnsi="宋体" w:cs="宋体"/>
                      <w:sz w:val="21"/>
                      <w:szCs w:val="21"/>
                    </w:rPr>
                    <w:fldChar w:fldCharType="separate"/>
                  </w:r>
                  <w:r>
                    <w:rPr>
                      <w:rFonts w:hint="eastAsia" w:ascii="宋体" w:hAnsi="宋体" w:cs="宋体"/>
                      <w:sz w:val="21"/>
                      <w:szCs w:val="21"/>
                    </w:rPr>
                    <w:t>①</w:t>
                  </w:r>
                  <w:r>
                    <w:rPr>
                      <w:rFonts w:hint="eastAsia" w:ascii="宋体" w:hAnsi="宋体" w:cs="宋体"/>
                      <w:sz w:val="21"/>
                      <w:szCs w:val="21"/>
                    </w:rPr>
                    <w:fldChar w:fldCharType="end"/>
                  </w:r>
                  <w:r>
                    <w:rPr>
                      <w:rFonts w:hint="eastAsia" w:ascii="宋体" w:hAnsi="宋体" w:cs="宋体"/>
                      <w:sz w:val="21"/>
                      <w:szCs w:val="21"/>
                    </w:rPr>
                    <w:t>-</w:t>
                  </w:r>
                  <w:r>
                    <w:rPr>
                      <w:rFonts w:hint="eastAsia" w:ascii="宋体" w:hAnsi="宋体" w:cs="宋体"/>
                      <w:sz w:val="21"/>
                      <w:szCs w:val="21"/>
                    </w:rPr>
                    <w:fldChar w:fldCharType="begin"/>
                  </w:r>
                  <w:r>
                    <w:rPr>
                      <w:rFonts w:hint="eastAsia" w:ascii="宋体" w:hAnsi="宋体" w:cs="宋体"/>
                      <w:sz w:val="21"/>
                      <w:szCs w:val="21"/>
                    </w:rPr>
                    <w:instrText xml:space="preserve"> = 4 \* GB3 \* MERGEFORMAT </w:instrText>
                  </w:r>
                  <w:r>
                    <w:rPr>
                      <w:rFonts w:hint="eastAsia" w:ascii="宋体" w:hAnsi="宋体" w:cs="宋体"/>
                      <w:sz w:val="21"/>
                      <w:szCs w:val="21"/>
                    </w:rPr>
                    <w:fldChar w:fldCharType="separate"/>
                  </w:r>
                  <w:r>
                    <w:rPr>
                      <w:rFonts w:hint="eastAsia" w:ascii="宋体" w:hAnsi="宋体" w:cs="宋体"/>
                      <w:sz w:val="21"/>
                      <w:szCs w:val="21"/>
                    </w:rPr>
                    <w:t>④</w:t>
                  </w:r>
                  <w:r>
                    <w:rPr>
                      <w:rFonts w:hint="eastAsia" w:ascii="宋体" w:hAnsi="宋体" w:cs="宋体"/>
                      <w:sz w:val="21"/>
                      <w:szCs w:val="21"/>
                    </w:rPr>
                    <w:fldChar w:fldCharType="end"/>
                  </w:r>
                  <w:r>
                    <w:rPr>
                      <w:rFonts w:hint="eastAsia" w:ascii="宋体" w:hAnsi="宋体" w:cs="宋体"/>
                      <w:sz w:val="21"/>
                      <w:szCs w:val="21"/>
                    </w:rPr>
                    <w:t>得12分；少一项方案扣3分扣完为止，满分12分。</w:t>
                  </w:r>
                </w:p>
              </w:tc>
              <w:tc>
                <w:tcPr>
                  <w:tcW w:w="761" w:type="dxa"/>
                  <w:vAlign w:val="center"/>
                </w:tcPr>
                <w:p>
                  <w:pPr>
                    <w:spacing w:line="400" w:lineRule="exact"/>
                    <w:jc w:val="center"/>
                    <w:rPr>
                      <w:rFonts w:ascii="宋体" w:hAnsi="宋体" w:cs="宋体"/>
                      <w:sz w:val="21"/>
                      <w:szCs w:val="21"/>
                    </w:rPr>
                  </w:pPr>
                  <w:r>
                    <w:rPr>
                      <w:rFonts w:hint="eastAsia" w:ascii="宋体" w:hAnsi="宋体" w:cs="宋体"/>
                      <w:sz w:val="21"/>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0" w:type="dxa"/>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1-5</w:t>
                  </w:r>
                </w:p>
              </w:tc>
              <w:tc>
                <w:tcPr>
                  <w:tcW w:w="6512" w:type="dxa"/>
                  <w:vAlign w:val="center"/>
                </w:tcPr>
                <w:p>
                  <w:pPr>
                    <w:snapToGrid w:val="0"/>
                    <w:spacing w:line="400" w:lineRule="exact"/>
                    <w:jc w:val="left"/>
                    <w:rPr>
                      <w:rFonts w:ascii="宋体" w:hAnsi="宋体" w:cs="宋体"/>
                      <w:sz w:val="21"/>
                      <w:szCs w:val="21"/>
                    </w:rPr>
                  </w:pPr>
                  <w:r>
                    <w:rPr>
                      <w:rFonts w:hint="eastAsia" w:ascii="宋体" w:hAnsi="宋体" w:cs="宋体"/>
                      <w:sz w:val="21"/>
                      <w:szCs w:val="21"/>
                    </w:rPr>
                    <w:t>根据供应商选用的产品、材料的性能、参数等情况进行综合评价，产品、材料性能、使用性强，且有利于项目实施的3分；产品、材料性能、使用性较好，但不影响项目整体实施的得2分；产品、材料性能、使用性较差，但不影响项目整体实施的得1分，未提供的不得分。</w:t>
                  </w:r>
                </w:p>
              </w:tc>
              <w:tc>
                <w:tcPr>
                  <w:tcW w:w="761" w:type="dxa"/>
                  <w:vAlign w:val="center"/>
                </w:tcPr>
                <w:p>
                  <w:pPr>
                    <w:spacing w:line="400" w:lineRule="exact"/>
                    <w:jc w:val="center"/>
                    <w:rPr>
                      <w:rFonts w:ascii="宋体" w:hAnsi="宋体" w:cs="宋体"/>
                      <w:sz w:val="21"/>
                      <w:szCs w:val="21"/>
                    </w:rPr>
                  </w:pPr>
                  <w:r>
                    <w:rPr>
                      <w:rFonts w:hint="eastAsia" w:ascii="宋体" w:hAnsi="宋体" w:cs="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0" w:type="dxa"/>
                  <w:vAlign w:val="center"/>
                </w:tcPr>
                <w:p>
                  <w:pPr>
                    <w:spacing w:line="400" w:lineRule="exact"/>
                    <w:jc w:val="center"/>
                    <w:rPr>
                      <w:rFonts w:ascii="宋体" w:hAnsi="宋体" w:cs="宋体"/>
                      <w:sz w:val="21"/>
                      <w:szCs w:val="21"/>
                    </w:rPr>
                  </w:pPr>
                  <w:r>
                    <w:rPr>
                      <w:rFonts w:hint="eastAsia" w:ascii="宋体" w:hAnsi="宋体" w:cs="宋体"/>
                      <w:sz w:val="21"/>
                      <w:szCs w:val="21"/>
                    </w:rPr>
                    <w:t>1-6</w:t>
                  </w:r>
                </w:p>
              </w:tc>
              <w:tc>
                <w:tcPr>
                  <w:tcW w:w="6512" w:type="dxa"/>
                </w:tcPr>
                <w:p>
                  <w:pPr>
                    <w:spacing w:line="440" w:lineRule="exact"/>
                    <w:rPr>
                      <w:rFonts w:ascii="宋体" w:hAnsi="宋体" w:cs="宋体"/>
                      <w:sz w:val="21"/>
                      <w:szCs w:val="21"/>
                    </w:rPr>
                  </w:pPr>
                  <w:r>
                    <w:rPr>
                      <w:rFonts w:hint="eastAsia" w:ascii="宋体" w:hAnsi="宋体" w:eastAsia="宋体" w:cs="宋体"/>
                      <w:i w:val="0"/>
                      <w:iCs w:val="0"/>
                      <w:caps w:val="0"/>
                      <w:spacing w:val="0"/>
                      <w:sz w:val="21"/>
                      <w:szCs w:val="21"/>
                    </w:rPr>
                    <w:t>根据</w:t>
                  </w:r>
                  <w:r>
                    <w:rPr>
                      <w:rFonts w:hint="eastAsia" w:ascii="宋体" w:hAnsi="宋体" w:eastAsia="宋体" w:cs="宋体"/>
                      <w:i w:val="0"/>
                      <w:iCs w:val="0"/>
                      <w:caps w:val="0"/>
                      <w:spacing w:val="0"/>
                      <w:sz w:val="21"/>
                      <w:szCs w:val="21"/>
                      <w:lang w:val="en-US" w:eastAsia="zh-CN"/>
                    </w:rPr>
                    <w:t>供应商</w:t>
                  </w:r>
                  <w:r>
                    <w:rPr>
                      <w:rFonts w:hint="eastAsia" w:ascii="宋体" w:hAnsi="宋体" w:eastAsia="宋体" w:cs="宋体"/>
                      <w:i w:val="0"/>
                      <w:iCs w:val="0"/>
                      <w:caps w:val="0"/>
                      <w:spacing w:val="0"/>
                      <w:sz w:val="21"/>
                      <w:szCs w:val="21"/>
                    </w:rPr>
                    <w:t>提供的供货进度计划和安装调试进度计划进行评价： ①有提供供货进度计划和安装调试进度计划的得1分；</w:t>
                  </w:r>
                  <w:r>
                    <w:rPr>
                      <w:rFonts w:hint="eastAsia" w:ascii="宋体" w:hAnsi="宋体" w:eastAsia="宋体" w:cs="宋体"/>
                      <w:i w:val="0"/>
                      <w:iCs w:val="0"/>
                      <w:caps w:val="0"/>
                      <w:spacing w:val="0"/>
                      <w:sz w:val="21"/>
                      <w:szCs w:val="21"/>
                    </w:rPr>
                    <w:br w:type="textWrapping"/>
                  </w:r>
                  <w:r>
                    <w:rPr>
                      <w:rFonts w:hint="eastAsia" w:ascii="宋体" w:hAnsi="宋体" w:eastAsia="宋体" w:cs="宋体"/>
                      <w:i w:val="0"/>
                      <w:iCs w:val="0"/>
                      <w:caps w:val="0"/>
                      <w:spacing w:val="0"/>
                      <w:sz w:val="21"/>
                      <w:szCs w:val="21"/>
                    </w:rPr>
                    <w:t>②在满足①的基础上，每个进度计划均有明确的人员分工安排及项目实施时间进度表与对应的处罚措施，能够保障在项目实施过程中有灵活的临时调整措施和应急处理能力，有利于促进项目进度的得2分；</w:t>
                  </w:r>
                  <w:r>
                    <w:rPr>
                      <w:rFonts w:hint="eastAsia" w:ascii="宋体" w:hAnsi="宋体" w:eastAsia="宋体" w:cs="宋体"/>
                      <w:i w:val="0"/>
                      <w:iCs w:val="0"/>
                      <w:caps w:val="0"/>
                      <w:spacing w:val="0"/>
                      <w:sz w:val="21"/>
                      <w:szCs w:val="21"/>
                    </w:rPr>
                    <w:br w:type="textWrapping"/>
                  </w:r>
                  <w:r>
                    <w:rPr>
                      <w:rFonts w:hint="eastAsia" w:ascii="宋体" w:hAnsi="宋体" w:eastAsia="宋体" w:cs="宋体"/>
                      <w:i w:val="0"/>
                      <w:iCs w:val="0"/>
                      <w:caps w:val="0"/>
                      <w:spacing w:val="0"/>
                      <w:sz w:val="21"/>
                      <w:szCs w:val="21"/>
                    </w:rPr>
                    <w:t>③其他不得分。</w:t>
                  </w:r>
                </w:p>
              </w:tc>
              <w:tc>
                <w:tcPr>
                  <w:tcW w:w="761" w:type="dxa"/>
                  <w:vAlign w:val="center"/>
                </w:tcPr>
                <w:p>
                  <w:pPr>
                    <w:snapToGrid w:val="0"/>
                    <w:spacing w:line="400" w:lineRule="exact"/>
                    <w:jc w:val="center"/>
                    <w:rPr>
                      <w:rFonts w:ascii="宋体" w:hAnsi="宋体" w:cs="宋体"/>
                      <w:sz w:val="21"/>
                      <w:szCs w:val="21"/>
                    </w:rPr>
                  </w:pPr>
                  <w:r>
                    <w:rPr>
                      <w:rFonts w:hint="eastAsia" w:ascii="宋体" w:hAnsi="宋体" w:cs="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0" w:type="dxa"/>
                  <w:vAlign w:val="center"/>
                </w:tcPr>
                <w:p>
                  <w:pPr>
                    <w:spacing w:line="400" w:lineRule="exact"/>
                    <w:jc w:val="center"/>
                    <w:rPr>
                      <w:rFonts w:ascii="宋体" w:hAnsi="宋体" w:cs="宋体"/>
                      <w:sz w:val="21"/>
                      <w:szCs w:val="21"/>
                    </w:rPr>
                  </w:pPr>
                  <w:r>
                    <w:rPr>
                      <w:rFonts w:hint="eastAsia" w:ascii="宋体" w:hAnsi="宋体" w:cs="宋体"/>
                      <w:sz w:val="21"/>
                      <w:szCs w:val="21"/>
                    </w:rPr>
                    <w:t>1-7</w:t>
                  </w:r>
                </w:p>
              </w:tc>
              <w:tc>
                <w:tcPr>
                  <w:tcW w:w="6512" w:type="dxa"/>
                </w:tcPr>
                <w:p>
                  <w:pPr>
                    <w:snapToGrid w:val="0"/>
                    <w:spacing w:line="400" w:lineRule="exact"/>
                    <w:jc w:val="left"/>
                    <w:rPr>
                      <w:rFonts w:ascii="宋体" w:hAnsi="宋体" w:cs="宋体"/>
                      <w:sz w:val="21"/>
                      <w:szCs w:val="21"/>
                    </w:rPr>
                  </w:pPr>
                  <w:r>
                    <w:rPr>
                      <w:rFonts w:hint="eastAsia" w:ascii="宋体" w:hAnsi="宋体" w:cs="宋体"/>
                      <w:sz w:val="21"/>
                      <w:szCs w:val="21"/>
                    </w:rPr>
                    <w:t>根据供应商提供所投产品由制造商公开发布的印刷资料彩页或有效的技术支持材料（如由质量监督检测机构出具的《检验报告》、制造商出具的技术支持材料等）进行评审，每提供1份得1分，满分3分，未提供的不得分。</w:t>
                  </w:r>
                </w:p>
              </w:tc>
              <w:tc>
                <w:tcPr>
                  <w:tcW w:w="761" w:type="dxa"/>
                  <w:vAlign w:val="center"/>
                </w:tcPr>
                <w:p>
                  <w:pPr>
                    <w:tabs>
                      <w:tab w:val="left" w:pos="1035"/>
                    </w:tabs>
                    <w:spacing w:line="400" w:lineRule="exact"/>
                    <w:jc w:val="center"/>
                    <w:rPr>
                      <w:rFonts w:ascii="宋体" w:hAnsi="宋体" w:cs="宋体"/>
                      <w:sz w:val="21"/>
                      <w:szCs w:val="21"/>
                    </w:rPr>
                  </w:pPr>
                  <w:r>
                    <w:rPr>
                      <w:rFonts w:hint="eastAsia" w:ascii="宋体" w:hAnsi="宋体" w:cs="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0" w:type="dxa"/>
                  <w:vAlign w:val="center"/>
                </w:tcPr>
                <w:p>
                  <w:pPr>
                    <w:tabs>
                      <w:tab w:val="left" w:pos="1035"/>
                    </w:tabs>
                    <w:spacing w:line="400" w:lineRule="exact"/>
                    <w:jc w:val="center"/>
                    <w:rPr>
                      <w:rFonts w:ascii="宋体" w:hAnsi="宋体" w:cs="宋体"/>
                      <w:sz w:val="21"/>
                      <w:szCs w:val="21"/>
                    </w:rPr>
                  </w:pPr>
                  <w:r>
                    <w:rPr>
                      <w:rFonts w:hint="eastAsia" w:ascii="宋体" w:hAnsi="宋体" w:cs="宋体"/>
                      <w:sz w:val="21"/>
                      <w:szCs w:val="21"/>
                    </w:rPr>
                    <w:t>1-8</w:t>
                  </w:r>
                </w:p>
              </w:tc>
              <w:tc>
                <w:tcPr>
                  <w:tcW w:w="6512" w:type="dxa"/>
                  <w:vAlign w:val="center"/>
                </w:tcPr>
                <w:p>
                  <w:pPr>
                    <w:snapToGrid w:val="0"/>
                    <w:spacing w:line="400" w:lineRule="exact"/>
                    <w:jc w:val="left"/>
                    <w:rPr>
                      <w:rFonts w:ascii="宋体" w:hAnsi="宋体" w:cs="宋体"/>
                      <w:sz w:val="21"/>
                      <w:szCs w:val="21"/>
                    </w:rPr>
                  </w:pPr>
                  <w:r>
                    <w:rPr>
                      <w:rFonts w:hint="eastAsia" w:ascii="宋体" w:hAnsi="宋体" w:cs="宋体"/>
                      <w:sz w:val="21"/>
                      <w:szCs w:val="21"/>
                    </w:rPr>
                    <w:t>根据供应商对采购人管理人员、操作人员及设备维护人员进行培训、学术支持等承诺情况进行评审，培训方案完整可行满足达到使用人员能够使用得3分；培训方案存在缺陷但</w:t>
                  </w:r>
                  <w:r>
                    <w:rPr>
                      <w:rFonts w:hint="eastAsia" w:ascii="宋体" w:hAnsi="宋体" w:cs="宋体"/>
                      <w:sz w:val="21"/>
                      <w:szCs w:val="21"/>
                      <w:lang w:val="en-US" w:eastAsia="zh-CN"/>
                    </w:rPr>
                    <w:t>基本</w:t>
                  </w:r>
                  <w:r>
                    <w:rPr>
                      <w:rFonts w:hint="eastAsia" w:ascii="宋体" w:hAnsi="宋体" w:cs="宋体"/>
                      <w:sz w:val="21"/>
                      <w:szCs w:val="21"/>
                    </w:rPr>
                    <w:t>可以达到使用人员能够使用的得1分；未提供方案不得分。</w:t>
                  </w:r>
                </w:p>
              </w:tc>
              <w:tc>
                <w:tcPr>
                  <w:tcW w:w="761" w:type="dxa"/>
                  <w:vAlign w:val="center"/>
                </w:tcPr>
                <w:p>
                  <w:pPr>
                    <w:tabs>
                      <w:tab w:val="left" w:pos="1035"/>
                    </w:tabs>
                    <w:spacing w:line="400" w:lineRule="exact"/>
                    <w:jc w:val="center"/>
                    <w:rPr>
                      <w:rFonts w:ascii="宋体" w:hAnsi="宋体" w:cs="宋体"/>
                      <w:sz w:val="21"/>
                      <w:szCs w:val="21"/>
                    </w:rPr>
                  </w:pPr>
                  <w:r>
                    <w:rPr>
                      <w:rFonts w:hint="eastAsia" w:ascii="宋体" w:hAnsi="宋体" w:cs="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7" w:hRule="atLeast"/>
                <w:jc w:val="center"/>
              </w:trPr>
              <w:tc>
                <w:tcPr>
                  <w:tcW w:w="780" w:type="dxa"/>
                  <w:vAlign w:val="center"/>
                </w:tcPr>
                <w:p>
                  <w:pPr>
                    <w:spacing w:line="400" w:lineRule="exact"/>
                    <w:jc w:val="center"/>
                    <w:rPr>
                      <w:rFonts w:ascii="宋体" w:hAnsi="宋体" w:cs="宋体"/>
                      <w:sz w:val="21"/>
                      <w:szCs w:val="21"/>
                    </w:rPr>
                  </w:pPr>
                  <w:r>
                    <w:rPr>
                      <w:rFonts w:hint="eastAsia" w:ascii="宋体" w:hAnsi="宋体" w:cs="宋体"/>
                      <w:sz w:val="21"/>
                      <w:szCs w:val="21"/>
                    </w:rPr>
                    <w:t>1-9</w:t>
                  </w:r>
                </w:p>
              </w:tc>
              <w:tc>
                <w:tcPr>
                  <w:tcW w:w="6512" w:type="dxa"/>
                  <w:vAlign w:val="center"/>
                </w:tcPr>
                <w:p>
                  <w:pPr>
                    <w:pStyle w:val="12"/>
                    <w:spacing w:line="400" w:lineRule="exact"/>
                    <w:ind w:left="69" w:right="-19"/>
                    <w:rPr>
                      <w:rFonts w:hAnsi="宋体" w:cs="宋体"/>
                      <w:szCs w:val="21"/>
                    </w:rPr>
                  </w:pPr>
                  <w:r>
                    <w:rPr>
                      <w:rFonts w:hint="eastAsia" w:hAnsi="宋体" w:cs="宋体"/>
                      <w:szCs w:val="21"/>
                    </w:rPr>
                    <w:t>根据磋商响应产品使用成本、维护成本情况进行评价:使用成本、维护成本在关键节点上安排、使用完全合理得3分；使用成本、维护成本在关键节点上安排、使用较合理得1分；其他及未提供的不得分。</w:t>
                  </w:r>
                </w:p>
              </w:tc>
              <w:tc>
                <w:tcPr>
                  <w:tcW w:w="761" w:type="dxa"/>
                  <w:vAlign w:val="center"/>
                </w:tcPr>
                <w:p>
                  <w:pPr>
                    <w:tabs>
                      <w:tab w:val="left" w:pos="1035"/>
                    </w:tabs>
                    <w:spacing w:line="400" w:lineRule="exact"/>
                    <w:jc w:val="center"/>
                    <w:rPr>
                      <w:rFonts w:ascii="宋体" w:hAnsi="宋体" w:cs="宋体"/>
                      <w:sz w:val="21"/>
                      <w:szCs w:val="21"/>
                    </w:rPr>
                  </w:pPr>
                  <w:r>
                    <w:rPr>
                      <w:rFonts w:hint="eastAsia" w:ascii="宋体" w:hAnsi="宋体" w:cs="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0" w:type="dxa"/>
                  <w:vAlign w:val="center"/>
                </w:tcPr>
                <w:p>
                  <w:pPr>
                    <w:spacing w:line="400" w:lineRule="exact"/>
                    <w:jc w:val="center"/>
                    <w:rPr>
                      <w:rFonts w:ascii="宋体" w:hAnsi="宋体" w:cs="宋体"/>
                      <w:sz w:val="21"/>
                      <w:szCs w:val="21"/>
                    </w:rPr>
                  </w:pPr>
                  <w:r>
                    <w:rPr>
                      <w:rFonts w:hint="eastAsia" w:ascii="宋体" w:hAnsi="宋体" w:cs="宋体"/>
                      <w:sz w:val="21"/>
                      <w:szCs w:val="21"/>
                    </w:rPr>
                    <w:t>1-10</w:t>
                  </w:r>
                </w:p>
              </w:tc>
              <w:tc>
                <w:tcPr>
                  <w:tcW w:w="6512" w:type="dxa"/>
                  <w:vAlign w:val="center"/>
                </w:tcPr>
                <w:p>
                  <w:pPr>
                    <w:pStyle w:val="12"/>
                    <w:spacing w:line="400" w:lineRule="exact"/>
                    <w:ind w:left="69" w:right="-19"/>
                    <w:rPr>
                      <w:rFonts w:hAnsi="宋体" w:cs="宋体"/>
                      <w:szCs w:val="21"/>
                    </w:rPr>
                  </w:pPr>
                  <w:r>
                    <w:rPr>
                      <w:rFonts w:hint="eastAsia" w:hAnsi="宋体" w:cs="宋体"/>
                      <w:szCs w:val="21"/>
                    </w:rPr>
                    <w:t>根据供应商提供响应产品的日常使用建议和使用保养的方案等进行评价：完整且合理可行、维保重点突出、对延长设备的使用寿命、提高设备的使用性能有促进作用的得3分；方案不够完整或关键节点考虑不够到位，但不影响项目整体实施的得1分；其他及未提供的不得分。</w:t>
                  </w:r>
                </w:p>
              </w:tc>
              <w:tc>
                <w:tcPr>
                  <w:tcW w:w="761" w:type="dxa"/>
                  <w:vAlign w:val="center"/>
                </w:tcPr>
                <w:p>
                  <w:pPr>
                    <w:tabs>
                      <w:tab w:val="left" w:pos="1035"/>
                    </w:tabs>
                    <w:spacing w:line="400" w:lineRule="exact"/>
                    <w:jc w:val="center"/>
                    <w:rPr>
                      <w:rFonts w:ascii="宋体" w:hAnsi="宋体" w:cs="宋体"/>
                      <w:sz w:val="21"/>
                      <w:szCs w:val="21"/>
                    </w:rPr>
                  </w:pPr>
                  <w:r>
                    <w:rPr>
                      <w:rFonts w:hint="eastAsia" w:ascii="宋体" w:hAnsi="宋体" w:cs="宋体"/>
                      <w:sz w:val="21"/>
                      <w:szCs w:val="21"/>
                    </w:rPr>
                    <w:t>3分</w:t>
                  </w:r>
                </w:p>
              </w:tc>
            </w:tr>
            <w:tr>
              <w:tblPrEx>
                <w:tblLayout w:type="fixed"/>
                <w:tblCellMar>
                  <w:top w:w="0" w:type="dxa"/>
                  <w:left w:w="108" w:type="dxa"/>
                  <w:bottom w:w="0" w:type="dxa"/>
                  <w:right w:w="108" w:type="dxa"/>
                </w:tblCellMar>
              </w:tblPrEx>
              <w:trPr>
                <w:trHeight w:val="377" w:hRule="atLeast"/>
                <w:jc w:val="center"/>
              </w:trPr>
              <w:tc>
                <w:tcPr>
                  <w:tcW w:w="780" w:type="dxa"/>
                  <w:vAlign w:val="center"/>
                </w:tcPr>
                <w:p>
                  <w:pPr>
                    <w:spacing w:line="400" w:lineRule="exact"/>
                    <w:jc w:val="center"/>
                    <w:rPr>
                      <w:rFonts w:ascii="宋体" w:hAnsi="宋体" w:cs="宋体"/>
                      <w:sz w:val="21"/>
                      <w:szCs w:val="21"/>
                    </w:rPr>
                  </w:pPr>
                  <w:r>
                    <w:rPr>
                      <w:rFonts w:hint="eastAsia" w:ascii="宋体" w:hAnsi="宋体" w:cs="宋体"/>
                      <w:sz w:val="21"/>
                      <w:szCs w:val="21"/>
                    </w:rPr>
                    <w:t>1-11</w:t>
                  </w:r>
                </w:p>
              </w:tc>
              <w:tc>
                <w:tcPr>
                  <w:tcW w:w="6512" w:type="dxa"/>
                  <w:vAlign w:val="center"/>
                </w:tcPr>
                <w:p>
                  <w:pPr>
                    <w:pStyle w:val="12"/>
                    <w:spacing w:line="400" w:lineRule="exact"/>
                    <w:ind w:left="69"/>
                    <w:rPr>
                      <w:rFonts w:hAnsi="宋体" w:cs="宋体"/>
                      <w:szCs w:val="21"/>
                    </w:rPr>
                  </w:pPr>
                  <w:r>
                    <w:rPr>
                      <w:rFonts w:hint="eastAsia" w:hAnsi="宋体" w:cs="宋体"/>
                      <w:szCs w:val="21"/>
                    </w:rPr>
                    <w:t>根据供应商提供的设备的操作是否便捷、易于维护、兼容性能是否良好进行评价，设备的操作便捷、易于维护、兼容性能强的3分；设备操作便捷程度较便捷、维护及兼容性能较好的得1分；设备操作便捷程度复杂、维护及兼容性能较差的不得分。</w:t>
                  </w:r>
                </w:p>
              </w:tc>
              <w:tc>
                <w:tcPr>
                  <w:tcW w:w="761" w:type="dxa"/>
                  <w:vAlign w:val="center"/>
                </w:tcPr>
                <w:p>
                  <w:pPr>
                    <w:tabs>
                      <w:tab w:val="left" w:pos="1035"/>
                    </w:tabs>
                    <w:spacing w:line="400" w:lineRule="exact"/>
                    <w:jc w:val="center"/>
                    <w:rPr>
                      <w:rFonts w:ascii="宋体" w:hAnsi="宋体" w:cs="宋体"/>
                      <w:sz w:val="21"/>
                      <w:szCs w:val="21"/>
                    </w:rPr>
                  </w:pPr>
                  <w:r>
                    <w:rPr>
                      <w:rFonts w:hint="eastAsia" w:ascii="宋体" w:hAnsi="宋体" w:cs="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0" w:type="dxa"/>
                  <w:vAlign w:val="center"/>
                </w:tcPr>
                <w:p>
                  <w:pPr>
                    <w:spacing w:line="400" w:lineRule="exact"/>
                    <w:jc w:val="center"/>
                    <w:rPr>
                      <w:rFonts w:ascii="宋体" w:hAnsi="宋体" w:cs="宋体"/>
                      <w:sz w:val="21"/>
                      <w:szCs w:val="21"/>
                    </w:rPr>
                  </w:pPr>
                  <w:r>
                    <w:rPr>
                      <w:rFonts w:hint="eastAsia" w:ascii="宋体" w:hAnsi="宋体" w:cs="宋体"/>
                      <w:sz w:val="21"/>
                      <w:szCs w:val="21"/>
                    </w:rPr>
                    <w:t>1-12</w:t>
                  </w:r>
                </w:p>
              </w:tc>
              <w:tc>
                <w:tcPr>
                  <w:tcW w:w="6512" w:type="dxa"/>
                </w:tcPr>
                <w:p>
                  <w:pPr>
                    <w:snapToGrid w:val="0"/>
                    <w:spacing w:line="400" w:lineRule="exact"/>
                    <w:jc w:val="left"/>
                    <w:rPr>
                      <w:rFonts w:ascii="宋体" w:hAnsi="宋体" w:cs="宋体"/>
                      <w:sz w:val="21"/>
                      <w:szCs w:val="21"/>
                    </w:rPr>
                  </w:pPr>
                  <w:r>
                    <w:rPr>
                      <w:rFonts w:hint="eastAsia" w:ascii="宋体" w:hAnsi="宋体" w:cs="宋体"/>
                      <w:sz w:val="21"/>
                      <w:szCs w:val="21"/>
                    </w:rPr>
                    <w:t>根据供应商针对突发问题的响应时间及问题分析和处理预案方案进行评分。阐述完整，描述准确的得3分；分析阐述较简单，符合项目实际，但目标不够明确、条理不清晰、分析不透彻得1分；其他及未提供材料不得分。</w:t>
                  </w:r>
                </w:p>
              </w:tc>
              <w:tc>
                <w:tcPr>
                  <w:tcW w:w="761" w:type="dxa"/>
                  <w:vAlign w:val="center"/>
                </w:tcPr>
                <w:p>
                  <w:pPr>
                    <w:tabs>
                      <w:tab w:val="left" w:pos="1035"/>
                    </w:tabs>
                    <w:spacing w:line="400" w:lineRule="exact"/>
                    <w:jc w:val="center"/>
                    <w:rPr>
                      <w:rFonts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0" w:type="dxa"/>
                  <w:vAlign w:val="center"/>
                </w:tcPr>
                <w:p>
                  <w:pPr>
                    <w:spacing w:line="400" w:lineRule="exact"/>
                    <w:jc w:val="center"/>
                    <w:rPr>
                      <w:rFonts w:ascii="宋体" w:hAnsi="宋体" w:cs="宋体"/>
                      <w:sz w:val="21"/>
                      <w:szCs w:val="21"/>
                    </w:rPr>
                  </w:pPr>
                  <w:r>
                    <w:rPr>
                      <w:rFonts w:hint="eastAsia" w:ascii="宋体" w:hAnsi="宋体" w:cs="宋体"/>
                      <w:sz w:val="21"/>
                      <w:szCs w:val="21"/>
                    </w:rPr>
                    <w:t>1-13</w:t>
                  </w:r>
                </w:p>
              </w:tc>
              <w:tc>
                <w:tcPr>
                  <w:tcW w:w="6512" w:type="dxa"/>
                  <w:vAlign w:val="center"/>
                </w:tcPr>
                <w:p>
                  <w:pPr>
                    <w:snapToGrid w:val="0"/>
                    <w:spacing w:line="400" w:lineRule="exact"/>
                    <w:jc w:val="left"/>
                    <w:rPr>
                      <w:rFonts w:ascii="宋体" w:hAnsi="宋体" w:cs="宋体"/>
                      <w:sz w:val="21"/>
                      <w:szCs w:val="21"/>
                    </w:rPr>
                  </w:pPr>
                  <w:r>
                    <w:rPr>
                      <w:rFonts w:hint="eastAsia" w:ascii="宋体" w:hAnsi="宋体" w:cs="宋体"/>
                      <w:sz w:val="21"/>
                      <w:szCs w:val="21"/>
                    </w:rPr>
                    <w:t>根据供应商承诺成交后的维护响应时间进行评价：收到采购人报修电话或传真后的0.5小时内响应，2小时内到达采购人现场，得3分；收到采购人报修电话或传真后的1小时内响应，4小时内到达采购人现场，得2分；收到采购人报修电话或传真后的2小时内响应，8小时内到达采购人现场，得1分；其它情况得不得分。供应商需提供书面承诺（书面承诺格式自拟）。</w:t>
                  </w:r>
                </w:p>
              </w:tc>
              <w:tc>
                <w:tcPr>
                  <w:tcW w:w="761" w:type="dxa"/>
                  <w:vAlign w:val="center"/>
                </w:tcPr>
                <w:p>
                  <w:pPr>
                    <w:tabs>
                      <w:tab w:val="left" w:pos="1035"/>
                    </w:tabs>
                    <w:spacing w:line="400" w:lineRule="exact"/>
                    <w:jc w:val="center"/>
                    <w:rPr>
                      <w:rFonts w:ascii="宋体" w:hAnsi="宋体" w:cs="宋体"/>
                      <w:sz w:val="21"/>
                      <w:szCs w:val="21"/>
                    </w:rPr>
                  </w:pPr>
                  <w:r>
                    <w:rPr>
                      <w:rFonts w:hint="eastAsia" w:ascii="宋体" w:hAnsi="宋体" w:cs="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7" w:hRule="atLeast"/>
                <w:jc w:val="center"/>
              </w:trPr>
              <w:tc>
                <w:tcPr>
                  <w:tcW w:w="780" w:type="dxa"/>
                  <w:vAlign w:val="center"/>
                </w:tcPr>
                <w:p>
                  <w:pPr>
                    <w:spacing w:line="400" w:lineRule="exact"/>
                    <w:jc w:val="center"/>
                    <w:rPr>
                      <w:rFonts w:ascii="宋体" w:hAnsi="宋体" w:cs="宋体"/>
                      <w:sz w:val="21"/>
                      <w:szCs w:val="21"/>
                    </w:rPr>
                  </w:pPr>
                  <w:r>
                    <w:rPr>
                      <w:rFonts w:hint="eastAsia" w:ascii="宋体" w:hAnsi="宋体" w:cs="宋体"/>
                      <w:sz w:val="21"/>
                      <w:szCs w:val="21"/>
                    </w:rPr>
                    <w:t>1-14</w:t>
                  </w:r>
                </w:p>
              </w:tc>
              <w:tc>
                <w:tcPr>
                  <w:tcW w:w="6512" w:type="dxa"/>
                  <w:vAlign w:val="center"/>
                </w:tcPr>
                <w:p>
                  <w:pPr>
                    <w:snapToGrid w:val="0"/>
                    <w:spacing w:line="400" w:lineRule="exact"/>
                    <w:jc w:val="left"/>
                    <w:rPr>
                      <w:rFonts w:ascii="宋体" w:hAnsi="宋体" w:cs="宋体"/>
                      <w:sz w:val="21"/>
                      <w:szCs w:val="21"/>
                    </w:rPr>
                  </w:pPr>
                  <w:r>
                    <w:rPr>
                      <w:rFonts w:hint="eastAsia" w:ascii="宋体" w:hAnsi="宋体" w:cs="宋体"/>
                      <w:sz w:val="21"/>
                      <w:szCs w:val="21"/>
                    </w:rPr>
                    <w:t>供应商承诺在项目实施过程中及售后服务期内，列明指定专人负责与用户保持长期的联系与服务并在磋商响应文件中预留联系人的电话。供应商须对此作出书面承诺（书面承诺函格式自拟）满足得</w:t>
                  </w:r>
                  <w:r>
                    <w:rPr>
                      <w:rFonts w:hint="eastAsia" w:ascii="宋体" w:hAnsi="宋体" w:cs="宋体"/>
                      <w:sz w:val="21"/>
                      <w:szCs w:val="21"/>
                      <w:lang w:val="en-US" w:eastAsia="zh-CN"/>
                    </w:rPr>
                    <w:t>3</w:t>
                  </w:r>
                  <w:r>
                    <w:rPr>
                      <w:rFonts w:hint="eastAsia" w:ascii="宋体" w:hAnsi="宋体" w:cs="宋体"/>
                      <w:sz w:val="21"/>
                      <w:szCs w:val="21"/>
                    </w:rPr>
                    <w:t>分，否则不得分。</w:t>
                  </w:r>
                </w:p>
              </w:tc>
              <w:tc>
                <w:tcPr>
                  <w:tcW w:w="761" w:type="dxa"/>
                  <w:vAlign w:val="center"/>
                </w:tcPr>
                <w:p>
                  <w:pPr>
                    <w:tabs>
                      <w:tab w:val="left" w:pos="1035"/>
                    </w:tabs>
                    <w:spacing w:line="400" w:lineRule="exact"/>
                    <w:jc w:val="center"/>
                    <w:rPr>
                      <w:rFonts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80" w:type="dxa"/>
                  <w:vAlign w:val="center"/>
                </w:tcPr>
                <w:p>
                  <w:pPr>
                    <w:spacing w:line="400" w:lineRule="exact"/>
                    <w:jc w:val="center"/>
                    <w:rPr>
                      <w:rFonts w:ascii="宋体" w:hAnsi="宋体" w:cs="宋体"/>
                      <w:sz w:val="21"/>
                      <w:szCs w:val="21"/>
                    </w:rPr>
                  </w:pPr>
                  <w:r>
                    <w:rPr>
                      <w:rFonts w:hint="eastAsia" w:ascii="宋体" w:hAnsi="宋体" w:cs="宋体"/>
                      <w:sz w:val="21"/>
                      <w:szCs w:val="21"/>
                    </w:rPr>
                    <w:t>1-15</w:t>
                  </w:r>
                </w:p>
              </w:tc>
              <w:tc>
                <w:tcPr>
                  <w:tcW w:w="6512" w:type="dxa"/>
                  <w:vAlign w:val="center"/>
                </w:tcPr>
                <w:p>
                  <w:pPr>
                    <w:snapToGrid w:val="0"/>
                    <w:spacing w:line="400" w:lineRule="exact"/>
                    <w:jc w:val="left"/>
                    <w:rPr>
                      <w:rFonts w:ascii="宋体" w:hAnsi="宋体" w:cs="宋体"/>
                      <w:sz w:val="21"/>
                      <w:szCs w:val="21"/>
                    </w:rPr>
                  </w:pPr>
                  <w:r>
                    <w:rPr>
                      <w:rFonts w:hint="eastAsia" w:ascii="宋体" w:hAnsi="宋体" w:cs="宋体"/>
                      <w:sz w:val="21"/>
                      <w:szCs w:val="21"/>
                    </w:rPr>
                    <w:t>供应商应在施工期间不影响采购人的正常工作，并出具承诺书（书面承诺函格式自拟），满足得</w:t>
                  </w:r>
                  <w:r>
                    <w:rPr>
                      <w:rFonts w:hint="eastAsia" w:ascii="宋体" w:hAnsi="宋体" w:cs="宋体"/>
                      <w:sz w:val="21"/>
                      <w:szCs w:val="21"/>
                      <w:lang w:val="en-US" w:eastAsia="zh-CN"/>
                    </w:rPr>
                    <w:t>3</w:t>
                  </w:r>
                  <w:r>
                    <w:rPr>
                      <w:rFonts w:hint="eastAsia" w:ascii="宋体" w:hAnsi="宋体" w:cs="宋体"/>
                      <w:sz w:val="21"/>
                      <w:szCs w:val="21"/>
                    </w:rPr>
                    <w:t>分，否则不得分。</w:t>
                  </w:r>
                </w:p>
              </w:tc>
              <w:tc>
                <w:tcPr>
                  <w:tcW w:w="761" w:type="dxa"/>
                  <w:vAlign w:val="center"/>
                </w:tcPr>
                <w:p>
                  <w:pPr>
                    <w:spacing w:line="400" w:lineRule="exact"/>
                    <w:jc w:val="center"/>
                    <w:rPr>
                      <w:rFonts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分</w:t>
                  </w:r>
                </w:p>
              </w:tc>
            </w:tr>
          </w:tbl>
          <w:p>
            <w:pPr>
              <w:spacing w:line="400" w:lineRule="atLeast"/>
              <w:rPr>
                <w:rFonts w:ascii="宋体" w:hAnsi="宋体"/>
                <w:sz w:val="21"/>
                <w:szCs w:val="21"/>
              </w:rPr>
            </w:pPr>
          </w:p>
          <w:p>
            <w:pPr>
              <w:spacing w:line="400" w:lineRule="atLeast"/>
              <w:rPr>
                <w:rFonts w:ascii="宋体" w:hAnsi="宋体"/>
                <w:sz w:val="21"/>
                <w:szCs w:val="21"/>
              </w:rPr>
            </w:pPr>
            <w:r>
              <w:rPr>
                <w:rFonts w:hint="eastAsia" w:ascii="宋体" w:hAnsi="宋体"/>
                <w:sz w:val="21"/>
                <w:szCs w:val="21"/>
              </w:rPr>
              <w:t>2、商务评分F2（满分15分）。</w:t>
            </w:r>
          </w:p>
          <w:tbl>
            <w:tblPr>
              <w:tblStyle w:val="24"/>
              <w:tblW w:w="8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6590"/>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8" w:type="dxa"/>
                  <w:vAlign w:val="center"/>
                </w:tcPr>
                <w:p>
                  <w:pPr>
                    <w:tabs>
                      <w:tab w:val="left" w:pos="-1080"/>
                      <w:tab w:val="left" w:pos="180"/>
                      <w:tab w:val="left" w:pos="1080"/>
                    </w:tabs>
                    <w:spacing w:line="360" w:lineRule="auto"/>
                    <w:jc w:val="center"/>
                    <w:rPr>
                      <w:rFonts w:ascii="宋体" w:hAnsi="宋体"/>
                      <w:b/>
                      <w:bCs/>
                      <w:sz w:val="21"/>
                      <w:szCs w:val="21"/>
                    </w:rPr>
                  </w:pPr>
                  <w:r>
                    <w:rPr>
                      <w:rFonts w:ascii="宋体" w:hAnsi="宋体"/>
                      <w:b/>
                      <w:bCs/>
                      <w:sz w:val="21"/>
                      <w:szCs w:val="21"/>
                    </w:rPr>
                    <w:t>序号</w:t>
                  </w:r>
                </w:p>
              </w:tc>
              <w:tc>
                <w:tcPr>
                  <w:tcW w:w="6590" w:type="dxa"/>
                  <w:vAlign w:val="center"/>
                </w:tcPr>
                <w:p>
                  <w:pPr>
                    <w:tabs>
                      <w:tab w:val="left" w:pos="-1080"/>
                      <w:tab w:val="left" w:pos="180"/>
                      <w:tab w:val="left" w:pos="1080"/>
                    </w:tabs>
                    <w:spacing w:line="360" w:lineRule="auto"/>
                    <w:jc w:val="center"/>
                    <w:rPr>
                      <w:rFonts w:ascii="宋体" w:hAnsi="宋体"/>
                      <w:b/>
                      <w:bCs/>
                      <w:sz w:val="21"/>
                      <w:szCs w:val="21"/>
                    </w:rPr>
                  </w:pPr>
                  <w:r>
                    <w:rPr>
                      <w:rFonts w:hint="eastAsia" w:ascii="宋体" w:hAnsi="宋体"/>
                      <w:b/>
                      <w:bCs/>
                      <w:sz w:val="21"/>
                      <w:szCs w:val="21"/>
                    </w:rPr>
                    <w:t>细则内容</w:t>
                  </w:r>
                </w:p>
              </w:tc>
              <w:tc>
                <w:tcPr>
                  <w:tcW w:w="681" w:type="dxa"/>
                  <w:vAlign w:val="center"/>
                </w:tcPr>
                <w:p>
                  <w:pPr>
                    <w:tabs>
                      <w:tab w:val="left" w:pos="-1080"/>
                      <w:tab w:val="left" w:pos="180"/>
                      <w:tab w:val="left" w:pos="1080"/>
                    </w:tabs>
                    <w:spacing w:line="360" w:lineRule="auto"/>
                    <w:jc w:val="center"/>
                    <w:rPr>
                      <w:rFonts w:ascii="宋体" w:hAnsi="宋体"/>
                      <w:b/>
                      <w:bCs/>
                      <w:sz w:val="21"/>
                      <w:szCs w:val="21"/>
                    </w:rPr>
                  </w:pPr>
                  <w:r>
                    <w:rPr>
                      <w:rFonts w:ascii="宋体" w:hAnsi="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78" w:type="dxa"/>
                  <w:vAlign w:val="center"/>
                </w:tcPr>
                <w:p>
                  <w:pPr>
                    <w:spacing w:line="400" w:lineRule="exact"/>
                    <w:jc w:val="center"/>
                    <w:rPr>
                      <w:rFonts w:ascii="宋体" w:hAnsi="宋体" w:cs="宋体"/>
                      <w:sz w:val="21"/>
                      <w:szCs w:val="21"/>
                    </w:rPr>
                  </w:pPr>
                  <w:r>
                    <w:rPr>
                      <w:rFonts w:hint="eastAsia" w:ascii="宋体" w:hAnsi="宋体" w:cs="宋体"/>
                      <w:sz w:val="21"/>
                      <w:szCs w:val="21"/>
                    </w:rPr>
                    <w:t>2-1</w:t>
                  </w:r>
                </w:p>
              </w:tc>
              <w:tc>
                <w:tcPr>
                  <w:tcW w:w="6590" w:type="dxa"/>
                  <w:vAlign w:val="center"/>
                </w:tcPr>
                <w:p>
                  <w:pPr>
                    <w:snapToGrid w:val="0"/>
                    <w:spacing w:line="400" w:lineRule="exact"/>
                    <w:rPr>
                      <w:rFonts w:ascii="宋体" w:hAnsi="宋体" w:cs="宋体"/>
                      <w:sz w:val="21"/>
                      <w:szCs w:val="21"/>
                    </w:rPr>
                  </w:pPr>
                  <w:r>
                    <w:rPr>
                      <w:rFonts w:hint="eastAsia" w:ascii="宋体" w:hAnsi="宋体" w:cs="宋体"/>
                      <w:sz w:val="21"/>
                      <w:szCs w:val="21"/>
                    </w:rPr>
                    <w:t>根据供应商的组织架构、管理制度等进行比较评价，组织架构制度规范标准完善的得3分，组织架构制度规范标准较完善的得2分，组织架构制度规范标准不够完善的得1分。（注：未提供组织架构及相关制度的不得分）</w:t>
                  </w:r>
                </w:p>
              </w:tc>
              <w:tc>
                <w:tcPr>
                  <w:tcW w:w="681" w:type="dxa"/>
                  <w:vAlign w:val="center"/>
                </w:tcPr>
                <w:p>
                  <w:pPr>
                    <w:spacing w:before="120" w:after="120"/>
                    <w:ind w:left="-132" w:leftChars="-47" w:right="-104" w:rightChars="-37"/>
                    <w:jc w:val="center"/>
                    <w:rPr>
                      <w:rFonts w:ascii="宋体" w:hAnsi="宋体"/>
                      <w:sz w:val="21"/>
                      <w:szCs w:val="21"/>
                    </w:rPr>
                  </w:pPr>
                  <w:r>
                    <w:rPr>
                      <w:rFonts w:hint="eastAsia" w:ascii="宋体" w:hAnsi="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78" w:type="dxa"/>
                  <w:vAlign w:val="center"/>
                </w:tcPr>
                <w:p>
                  <w:pPr>
                    <w:spacing w:line="400" w:lineRule="exact"/>
                    <w:jc w:val="center"/>
                    <w:rPr>
                      <w:rFonts w:ascii="宋体" w:hAnsi="宋体" w:cs="宋体"/>
                      <w:sz w:val="21"/>
                      <w:szCs w:val="21"/>
                    </w:rPr>
                  </w:pPr>
                  <w:r>
                    <w:rPr>
                      <w:rFonts w:hint="eastAsia" w:ascii="宋体" w:hAnsi="宋体" w:cs="宋体"/>
                      <w:sz w:val="21"/>
                      <w:szCs w:val="21"/>
                    </w:rPr>
                    <w:t>2-2</w:t>
                  </w:r>
                </w:p>
              </w:tc>
              <w:tc>
                <w:tcPr>
                  <w:tcW w:w="6590" w:type="dxa"/>
                  <w:vAlign w:val="center"/>
                </w:tcPr>
                <w:p>
                  <w:pPr>
                    <w:snapToGrid w:val="0"/>
                    <w:spacing w:line="400" w:lineRule="exact"/>
                    <w:rPr>
                      <w:rFonts w:ascii="宋体" w:hAnsi="宋体" w:cs="宋体"/>
                      <w:sz w:val="21"/>
                      <w:szCs w:val="21"/>
                    </w:rPr>
                  </w:pPr>
                  <w:r>
                    <w:rPr>
                      <w:rFonts w:hint="eastAsia" w:ascii="宋体" w:hAnsi="宋体" w:eastAsia="宋体" w:cs="宋体"/>
                      <w:i w:val="0"/>
                      <w:iCs w:val="0"/>
                      <w:caps w:val="0"/>
                      <w:spacing w:val="0"/>
                      <w:sz w:val="21"/>
                      <w:szCs w:val="21"/>
                      <w:lang w:val="en-US" w:eastAsia="zh-CN"/>
                    </w:rPr>
                    <w:t>供应商</w:t>
                  </w:r>
                  <w:r>
                    <w:rPr>
                      <w:rFonts w:hint="eastAsia" w:ascii="宋体" w:hAnsi="宋体" w:cs="宋体"/>
                      <w:i w:val="0"/>
                      <w:iCs w:val="0"/>
                      <w:caps w:val="0"/>
                      <w:spacing w:val="0"/>
                      <w:sz w:val="21"/>
                      <w:szCs w:val="21"/>
                      <w:lang w:val="en-US" w:eastAsia="zh-CN"/>
                    </w:rPr>
                    <w:t>提供有效</w:t>
                  </w:r>
                  <w:r>
                    <w:rPr>
                      <w:rFonts w:hint="eastAsia" w:ascii="宋体" w:hAnsi="宋体" w:eastAsia="宋体" w:cs="宋体"/>
                      <w:i w:val="0"/>
                      <w:iCs w:val="0"/>
                      <w:caps w:val="0"/>
                      <w:spacing w:val="0"/>
                      <w:sz w:val="21"/>
                      <w:szCs w:val="21"/>
                    </w:rPr>
                    <w:t>质量管理体系认证、环境管理体系认证、职业健康安全管理体系认证的，每通过1项得1分，本项满分3分。</w:t>
                  </w:r>
                </w:p>
              </w:tc>
              <w:tc>
                <w:tcPr>
                  <w:tcW w:w="681" w:type="dxa"/>
                  <w:vAlign w:val="center"/>
                </w:tcPr>
                <w:p>
                  <w:pPr>
                    <w:spacing w:before="120" w:after="120"/>
                    <w:ind w:left="-132" w:leftChars="-47" w:right="-104" w:rightChars="-37"/>
                    <w:jc w:val="center"/>
                    <w:rPr>
                      <w:rFonts w:ascii="宋体" w:hAnsi="宋体"/>
                      <w:sz w:val="21"/>
                      <w:szCs w:val="21"/>
                    </w:rPr>
                  </w:pPr>
                  <w:r>
                    <w:rPr>
                      <w:rFonts w:ascii="宋体" w:hAnsi="宋体"/>
                      <w:sz w:val="21"/>
                      <w:szCs w:val="21"/>
                    </w:rPr>
                    <w:t>3</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78" w:type="dxa"/>
                  <w:vAlign w:val="center"/>
                </w:tcPr>
                <w:p>
                  <w:pPr>
                    <w:spacing w:line="400" w:lineRule="exact"/>
                    <w:jc w:val="center"/>
                    <w:rPr>
                      <w:rFonts w:ascii="宋体" w:hAnsi="宋体" w:cs="宋体"/>
                      <w:sz w:val="21"/>
                      <w:szCs w:val="21"/>
                    </w:rPr>
                  </w:pPr>
                  <w:r>
                    <w:rPr>
                      <w:rFonts w:hint="eastAsia" w:ascii="宋体" w:hAnsi="宋体" w:cs="宋体"/>
                      <w:sz w:val="21"/>
                      <w:szCs w:val="21"/>
                    </w:rPr>
                    <w:t>2-3</w:t>
                  </w:r>
                </w:p>
              </w:tc>
              <w:tc>
                <w:tcPr>
                  <w:tcW w:w="6590" w:type="dxa"/>
                </w:tcPr>
                <w:p>
                  <w:pPr>
                    <w:snapToGrid w:val="0"/>
                    <w:spacing w:line="400" w:lineRule="exact"/>
                    <w:rPr>
                      <w:rFonts w:ascii="宋体" w:hAnsi="宋体" w:cs="宋体"/>
                      <w:sz w:val="21"/>
                      <w:szCs w:val="21"/>
                    </w:rPr>
                  </w:pPr>
                  <w:r>
                    <w:rPr>
                      <w:rFonts w:hint="eastAsia" w:ascii="宋体" w:hAnsi="宋体" w:cs="宋体"/>
                      <w:sz w:val="21"/>
                      <w:szCs w:val="21"/>
                    </w:rPr>
                    <w:t>根据供应商提供的后期服务体系是否完善、人员配备是否满足要求进行评价，服务方案可行，人员配备充足得3分，服务方案较合理，人员配备基本满足要求得1分，其他情况不得分。</w:t>
                  </w:r>
                </w:p>
              </w:tc>
              <w:tc>
                <w:tcPr>
                  <w:tcW w:w="681" w:type="dxa"/>
                  <w:vAlign w:val="center"/>
                </w:tcPr>
                <w:p>
                  <w:pPr>
                    <w:spacing w:before="120" w:after="120"/>
                    <w:ind w:left="-132" w:leftChars="-47" w:right="-104" w:rightChars="-37"/>
                    <w:jc w:val="center"/>
                    <w:rPr>
                      <w:rFonts w:ascii="宋体" w:hAnsi="宋体"/>
                      <w:sz w:val="21"/>
                      <w:szCs w:val="21"/>
                    </w:rPr>
                  </w:pPr>
                  <w:r>
                    <w:rPr>
                      <w:rFonts w:hint="eastAsia" w:ascii="宋体" w:hAnsi="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78" w:type="dxa"/>
                  <w:vAlign w:val="center"/>
                </w:tcPr>
                <w:p>
                  <w:pPr>
                    <w:spacing w:line="400" w:lineRule="exact"/>
                    <w:jc w:val="center"/>
                    <w:rPr>
                      <w:rFonts w:ascii="宋体" w:hAnsi="宋体" w:cs="宋体"/>
                      <w:sz w:val="21"/>
                      <w:szCs w:val="21"/>
                    </w:rPr>
                  </w:pPr>
                  <w:r>
                    <w:rPr>
                      <w:rFonts w:hint="eastAsia" w:ascii="宋体" w:hAnsi="宋体" w:cs="宋体"/>
                      <w:sz w:val="21"/>
                      <w:szCs w:val="21"/>
                    </w:rPr>
                    <w:t>2-4</w:t>
                  </w:r>
                </w:p>
              </w:tc>
              <w:tc>
                <w:tcPr>
                  <w:tcW w:w="6590" w:type="dxa"/>
                  <w:vAlign w:val="center"/>
                </w:tcPr>
                <w:p>
                  <w:pPr>
                    <w:snapToGrid w:val="0"/>
                    <w:spacing w:line="400" w:lineRule="exact"/>
                    <w:rPr>
                      <w:rFonts w:ascii="宋体" w:hAnsi="宋体" w:cs="宋体"/>
                      <w:sz w:val="21"/>
                      <w:szCs w:val="21"/>
                    </w:rPr>
                  </w:pPr>
                  <w:r>
                    <w:rPr>
                      <w:rFonts w:hint="eastAsia" w:ascii="宋体" w:hAnsi="宋体" w:cs="宋体"/>
                      <w:sz w:val="21"/>
                      <w:szCs w:val="21"/>
                    </w:rPr>
                    <w:t>供应商提供同类项目的经采购人盖章的正面评价的，每提供1个得1分，满分3分，须提供相关证明材料，否则不得分。（原件备查，同一业主单位按一份计算）注：本项内容与商务评分2-5项不重复计分。</w:t>
                  </w:r>
                </w:p>
              </w:tc>
              <w:tc>
                <w:tcPr>
                  <w:tcW w:w="681" w:type="dxa"/>
                  <w:vAlign w:val="center"/>
                </w:tcPr>
                <w:p>
                  <w:pPr>
                    <w:spacing w:before="120" w:after="120"/>
                    <w:ind w:left="-132" w:leftChars="-47" w:right="-104" w:rightChars="-37"/>
                    <w:jc w:val="center"/>
                    <w:rPr>
                      <w:rFonts w:ascii="宋体" w:hAnsi="宋体"/>
                      <w:sz w:val="21"/>
                      <w:szCs w:val="21"/>
                    </w:rPr>
                  </w:pPr>
                  <w:r>
                    <w:rPr>
                      <w:rFonts w:hint="eastAsia" w:ascii="宋体" w:hAnsi="宋体"/>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78" w:type="dxa"/>
                  <w:vAlign w:val="center"/>
                </w:tcPr>
                <w:p>
                  <w:pPr>
                    <w:spacing w:line="400" w:lineRule="exact"/>
                    <w:jc w:val="center"/>
                    <w:rPr>
                      <w:rFonts w:ascii="宋体" w:hAnsi="宋体" w:cs="宋体"/>
                      <w:sz w:val="21"/>
                      <w:szCs w:val="21"/>
                    </w:rPr>
                  </w:pPr>
                  <w:r>
                    <w:rPr>
                      <w:rFonts w:hint="eastAsia" w:ascii="宋体" w:hAnsi="宋体" w:cs="宋体"/>
                      <w:sz w:val="21"/>
                      <w:szCs w:val="21"/>
                    </w:rPr>
                    <w:t>2-5</w:t>
                  </w:r>
                </w:p>
              </w:tc>
              <w:tc>
                <w:tcPr>
                  <w:tcW w:w="6590" w:type="dxa"/>
                  <w:vAlign w:val="center"/>
                </w:tcPr>
                <w:p>
                  <w:pPr>
                    <w:snapToGrid w:val="0"/>
                    <w:spacing w:line="400" w:lineRule="exact"/>
                    <w:rPr>
                      <w:rFonts w:ascii="宋体" w:hAnsi="宋体" w:cs="宋体"/>
                      <w:sz w:val="21"/>
                      <w:szCs w:val="21"/>
                    </w:rPr>
                  </w:pPr>
                  <w:r>
                    <w:rPr>
                      <w:rFonts w:hint="eastAsia" w:ascii="宋体" w:hAnsi="宋体" w:cs="宋体"/>
                      <w:sz w:val="21"/>
                      <w:szCs w:val="21"/>
                    </w:rPr>
                    <w:t>类似业绩、经验：根据供应商2017年01月01日至今（以合同签订时间为准）类似项目业绩，每个有效业绩得1分，满分3分。</w:t>
                  </w:r>
                </w:p>
                <w:p>
                  <w:pPr>
                    <w:snapToGrid w:val="0"/>
                    <w:spacing w:line="400" w:lineRule="exact"/>
                    <w:rPr>
                      <w:rFonts w:ascii="宋体" w:hAnsi="宋体" w:cs="宋体"/>
                      <w:sz w:val="21"/>
                      <w:szCs w:val="21"/>
                    </w:rPr>
                  </w:pPr>
                  <w:r>
                    <w:rPr>
                      <w:rFonts w:hint="eastAsia" w:ascii="宋体" w:hAnsi="宋体" w:cs="宋体"/>
                      <w:sz w:val="21"/>
                      <w:szCs w:val="21"/>
                    </w:rPr>
                    <w:t>【说明：有效证明文件包括该业绩的成交（中标）公告（提供相关网站成交（中标）公告的下载官方网页及其网址）、成交（中标）通知书复印件、采购合同文本复印件，以及能够证明该业绩项目已经采购人验收合格的相关证明文件复印件，原件备查；如未按照磋商文件要求提供该项业绩完整资料的，评审小组会对该项业绩将不予采信。】</w:t>
                  </w:r>
                </w:p>
              </w:tc>
              <w:tc>
                <w:tcPr>
                  <w:tcW w:w="681" w:type="dxa"/>
                  <w:vAlign w:val="center"/>
                </w:tcPr>
                <w:p>
                  <w:pPr>
                    <w:snapToGrid w:val="0"/>
                    <w:spacing w:line="400" w:lineRule="exact"/>
                    <w:jc w:val="center"/>
                    <w:rPr>
                      <w:rFonts w:ascii="宋体" w:hAnsi="宋体"/>
                      <w:sz w:val="24"/>
                    </w:rPr>
                  </w:pPr>
                  <w:r>
                    <w:rPr>
                      <w:rFonts w:hint="eastAsia" w:ascii="宋体" w:hAnsi="宋体"/>
                      <w:sz w:val="21"/>
                      <w:szCs w:val="21"/>
                    </w:rPr>
                    <w:t>3分</w:t>
                  </w:r>
                </w:p>
              </w:tc>
            </w:tr>
          </w:tbl>
          <w:p>
            <w:pPr>
              <w:tabs>
                <w:tab w:val="left" w:pos="-1080"/>
                <w:tab w:val="left" w:pos="180"/>
                <w:tab w:val="left" w:pos="1080"/>
              </w:tabs>
              <w:spacing w:line="440" w:lineRule="exact"/>
              <w:rPr>
                <w:rFonts w:ascii="宋体" w:hAnsi="宋体" w:cs="宋体"/>
                <w:sz w:val="21"/>
                <w:szCs w:val="21"/>
              </w:rPr>
            </w:pPr>
            <w:r>
              <w:rPr>
                <w:rFonts w:hint="eastAsia" w:ascii="宋体" w:hAnsi="宋体" w:cs="宋体"/>
                <w:sz w:val="21"/>
                <w:szCs w:val="21"/>
              </w:rPr>
              <w:t>3、价格评分F3（满分3</w:t>
            </w:r>
            <w:r>
              <w:rPr>
                <w:rFonts w:hint="eastAsia" w:ascii="宋体" w:hAnsi="宋体" w:cs="宋体"/>
                <w:sz w:val="21"/>
                <w:szCs w:val="21"/>
                <w:lang w:val="en-US" w:eastAsia="zh-CN"/>
              </w:rPr>
              <w:t>1</w:t>
            </w:r>
            <w:r>
              <w:rPr>
                <w:rFonts w:hint="eastAsia" w:ascii="宋体" w:hAnsi="宋体" w:cs="宋体"/>
                <w:sz w:val="21"/>
                <w:szCs w:val="21"/>
              </w:rPr>
              <w:t>分）。</w:t>
            </w:r>
          </w:p>
          <w:p>
            <w:pPr>
              <w:widowControl/>
              <w:autoSpaceDE w:val="0"/>
              <w:spacing w:line="440" w:lineRule="exact"/>
              <w:rPr>
                <w:rFonts w:ascii="宋体" w:hAnsi="宋体" w:cs="宋体"/>
                <w:kern w:val="0"/>
                <w:sz w:val="21"/>
                <w:szCs w:val="21"/>
              </w:rPr>
            </w:pPr>
            <w:r>
              <w:rPr>
                <w:rFonts w:hint="eastAsia" w:ascii="宋体" w:hAnsi="宋体" w:cs="宋体"/>
                <w:sz w:val="21"/>
                <w:szCs w:val="21"/>
              </w:rPr>
              <w:t xml:space="preserve">    在满足招标要求的响应中，</w:t>
            </w:r>
            <w:r>
              <w:rPr>
                <w:rFonts w:hint="eastAsia" w:ascii="宋体" w:hAnsi="宋体" w:cs="宋体"/>
                <w:kern w:val="0"/>
                <w:sz w:val="21"/>
                <w:szCs w:val="21"/>
              </w:rPr>
              <w:t>取所有有效响应供应商的响应报价的最低价为基准价A值，各有效响应供应商报价得分按如下公式计算：</w:t>
            </w:r>
          </w:p>
          <w:p>
            <w:pPr>
              <w:spacing w:line="440" w:lineRule="exact"/>
              <w:ind w:firstLine="420" w:firstLineChars="200"/>
              <w:rPr>
                <w:rFonts w:hint="eastAsia" w:ascii="宋体" w:hAnsi="宋体" w:eastAsia="宋体" w:cs="宋体"/>
                <w:sz w:val="21"/>
                <w:szCs w:val="21"/>
                <w:lang w:eastAsia="zh-CN"/>
              </w:rPr>
            </w:pPr>
            <w:r>
              <w:rPr>
                <w:rFonts w:hint="eastAsia" w:ascii="宋体" w:hAnsi="宋体" w:cs="宋体"/>
                <w:sz w:val="21"/>
                <w:szCs w:val="21"/>
              </w:rPr>
              <w:t>有效响应供应商报价得分=A/该有效响应供应商报价×3</w:t>
            </w:r>
            <w:r>
              <w:rPr>
                <w:rFonts w:hint="eastAsia" w:ascii="宋体" w:hAnsi="宋体" w:cs="宋体"/>
                <w:sz w:val="21"/>
                <w:szCs w:val="21"/>
                <w:lang w:val="en-US" w:eastAsia="zh-CN"/>
              </w:rPr>
              <w:t>1</w:t>
            </w:r>
          </w:p>
          <w:p>
            <w:pPr>
              <w:spacing w:line="440" w:lineRule="exact"/>
              <w:ind w:right="-482" w:rightChars="-172"/>
              <w:rPr>
                <w:rFonts w:ascii="宋体" w:hAnsi="宋体" w:cs="宋体"/>
                <w:sz w:val="21"/>
                <w:szCs w:val="21"/>
              </w:rPr>
            </w:pPr>
            <w:r>
              <w:rPr>
                <w:rFonts w:hint="eastAsia" w:ascii="宋体" w:hAnsi="宋体" w:cs="宋体"/>
                <w:sz w:val="21"/>
                <w:szCs w:val="21"/>
              </w:rPr>
              <w:t xml:space="preserve">    各有效响应供应商的综合得分＝技术因素＋商务因素＋价格因素</w:t>
            </w:r>
          </w:p>
          <w:p>
            <w:pPr>
              <w:pStyle w:val="11"/>
              <w:snapToGrid w:val="0"/>
              <w:spacing w:line="440" w:lineRule="exact"/>
              <w:ind w:firstLine="0"/>
              <w:rPr>
                <w:rFonts w:hint="default" w:hAnsi="宋体" w:cs="宋体"/>
                <w:color w:val="000000"/>
                <w:kern w:val="2"/>
                <w:sz w:val="21"/>
                <w:szCs w:val="21"/>
              </w:rPr>
            </w:pPr>
            <w:r>
              <w:rPr>
                <w:rFonts w:hAnsi="宋体" w:cs="宋体"/>
                <w:color w:val="000000"/>
                <w:sz w:val="21"/>
                <w:szCs w:val="21"/>
              </w:rPr>
              <w:t>三、定标原则：</w:t>
            </w:r>
          </w:p>
          <w:p>
            <w:pPr>
              <w:pStyle w:val="11"/>
              <w:snapToGrid w:val="0"/>
              <w:spacing w:line="440" w:lineRule="exact"/>
              <w:ind w:firstLineChars="200"/>
              <w:rPr>
                <w:rFonts w:hint="default" w:hAnsi="宋体"/>
                <w:sz w:val="21"/>
                <w:szCs w:val="21"/>
              </w:rPr>
            </w:pPr>
            <w:r>
              <w:rPr>
                <w:rFonts w:hAnsi="宋体" w:cs="宋体"/>
                <w:color w:val="000000"/>
                <w:sz w:val="21"/>
                <w:szCs w:val="21"/>
              </w:rPr>
              <w:t xml:space="preserve"> 磋商小组将推荐预成交供应商名单报给采购人，由采购人审核并确定成交供应商。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10</w:t>
            </w:r>
          </w:p>
        </w:tc>
        <w:tc>
          <w:tcPr>
            <w:tcW w:w="8354" w:type="dxa"/>
            <w:tcMar>
              <w:top w:w="85" w:type="dxa"/>
              <w:left w:w="57" w:type="dxa"/>
              <w:bottom w:w="85" w:type="dxa"/>
              <w:right w:w="57" w:type="dxa"/>
            </w:tcMar>
            <w:vAlign w:val="center"/>
          </w:tcPr>
          <w:p>
            <w:pPr>
              <w:pStyle w:val="27"/>
              <w:spacing w:before="52" w:line="355" w:lineRule="auto"/>
              <w:ind w:left="470" w:right="48" w:hanging="420"/>
              <w:jc w:val="left"/>
              <w:rPr>
                <w:rFonts w:ascii="宋体" w:hAnsi="宋体" w:cs="宋体"/>
                <w:sz w:val="21"/>
                <w:szCs w:val="21"/>
              </w:rPr>
            </w:pPr>
            <w:r>
              <w:rPr>
                <w:rFonts w:ascii="宋体" w:hAnsi="宋体" w:cs="宋体"/>
                <w:sz w:val="21"/>
                <w:szCs w:val="21"/>
              </w:rPr>
              <w:t>采购代理服务费标准及缴纳方式：</w:t>
            </w:r>
          </w:p>
          <w:p>
            <w:pPr>
              <w:spacing w:line="400" w:lineRule="atLeast"/>
              <w:ind w:firstLine="420" w:firstLineChars="200"/>
              <w:rPr>
                <w:sz w:val="21"/>
                <w:szCs w:val="21"/>
              </w:rPr>
            </w:pPr>
            <w:r>
              <w:rPr>
                <w:rFonts w:hint="eastAsia"/>
                <w:sz w:val="21"/>
                <w:szCs w:val="21"/>
              </w:rPr>
              <w:t>1、收费标准以单个合同包的成交总金额为准，按差额定率累进法计取，本项目的收费标准如下：成交价</w:t>
            </w:r>
            <w:r>
              <w:rPr>
                <w:rFonts w:hint="eastAsia" w:ascii="宋体" w:hAnsi="宋体" w:cs="宋体"/>
                <w:sz w:val="21"/>
                <w:szCs w:val="21"/>
              </w:rPr>
              <w:t>≤100</w:t>
            </w:r>
            <w:r>
              <w:rPr>
                <w:rFonts w:hint="eastAsia"/>
                <w:sz w:val="21"/>
                <w:szCs w:val="21"/>
              </w:rPr>
              <w:t>万元部分，收费费率为</w:t>
            </w:r>
            <w:r>
              <w:rPr>
                <w:rFonts w:hint="eastAsia" w:ascii="宋体" w:hAnsi="宋体" w:cs="宋体"/>
                <w:sz w:val="21"/>
                <w:szCs w:val="21"/>
              </w:rPr>
              <w:t>1.50%。</w:t>
            </w:r>
          </w:p>
          <w:p>
            <w:pPr>
              <w:spacing w:line="400" w:lineRule="atLeast"/>
              <w:ind w:firstLine="420" w:firstLineChars="200"/>
              <w:rPr>
                <w:sz w:val="21"/>
                <w:szCs w:val="21"/>
              </w:rPr>
            </w:pPr>
            <w:r>
              <w:rPr>
                <w:rFonts w:hint="eastAsia"/>
                <w:sz w:val="21"/>
                <w:szCs w:val="21"/>
              </w:rPr>
              <w:t>2、成交供应商在领取成交通知书时，应以转帐支票、汇票、现金等付款方式向招标代理机构一次性付清成交服务费。</w:t>
            </w:r>
          </w:p>
          <w:p>
            <w:pPr>
              <w:spacing w:line="400" w:lineRule="atLeast"/>
              <w:ind w:firstLine="420" w:firstLineChars="200"/>
              <w:rPr>
                <w:rFonts w:ascii="Times New Roman" w:hAnsi="Times New Roman"/>
                <w:sz w:val="21"/>
                <w:szCs w:val="21"/>
              </w:rPr>
            </w:pPr>
            <w:r>
              <w:rPr>
                <w:rFonts w:hint="eastAsia" w:ascii="Times New Roman" w:hAnsi="Times New Roman"/>
                <w:sz w:val="21"/>
                <w:szCs w:val="21"/>
              </w:rPr>
              <w:t>3、招标代理服务费账户：见第一章谈判邀请。</w:t>
            </w:r>
          </w:p>
          <w:p>
            <w:pPr>
              <w:pStyle w:val="27"/>
              <w:spacing w:before="52" w:line="355" w:lineRule="auto"/>
              <w:ind w:right="48" w:firstLine="422" w:firstLineChars="200"/>
              <w:jc w:val="left"/>
              <w:rPr>
                <w:rFonts w:ascii="宋体" w:hAnsi="宋体" w:cs="宋体"/>
                <w:sz w:val="21"/>
                <w:szCs w:val="21"/>
              </w:rPr>
            </w:pPr>
            <w:r>
              <w:rPr>
                <w:rFonts w:hint="eastAsia" w:ascii="Times New Roman" w:hAnsi="Times New Roman"/>
                <w:b/>
                <w:bCs/>
                <w:sz w:val="21"/>
                <w:szCs w:val="21"/>
              </w:rPr>
              <w:t>备注：招标代理服务费最低收费标准每个合同包按照</w:t>
            </w:r>
            <w:r>
              <w:rPr>
                <w:rFonts w:hint="eastAsia" w:ascii="宋体" w:hAnsi="宋体" w:cs="宋体"/>
                <w:b/>
                <w:bCs/>
                <w:sz w:val="21"/>
                <w:szCs w:val="21"/>
              </w:rPr>
              <w:t>3000</w:t>
            </w:r>
            <w:r>
              <w:rPr>
                <w:rFonts w:hint="eastAsia" w:ascii="Times New Roman" w:hAnsi="Times New Roman"/>
                <w:b/>
                <w:bCs/>
                <w:sz w:val="21"/>
                <w:szCs w:val="21"/>
              </w:rPr>
              <w:t>元收取，即若单个合同包服务费不足</w:t>
            </w:r>
            <w:r>
              <w:rPr>
                <w:rFonts w:hint="eastAsia" w:ascii="宋体" w:hAnsi="宋体" w:cs="宋体"/>
                <w:b/>
                <w:bCs/>
                <w:sz w:val="21"/>
                <w:szCs w:val="21"/>
              </w:rPr>
              <w:t>3000</w:t>
            </w:r>
            <w:r>
              <w:rPr>
                <w:rFonts w:hint="eastAsia" w:ascii="Times New Roman" w:hAnsi="Times New Roman"/>
                <w:b/>
                <w:bCs/>
                <w:sz w:val="21"/>
                <w:szCs w:val="21"/>
              </w:rPr>
              <w:t>元的，按</w:t>
            </w:r>
            <w:r>
              <w:rPr>
                <w:rFonts w:hint="eastAsia" w:ascii="宋体" w:hAnsi="宋体" w:cs="宋体"/>
                <w:b/>
                <w:bCs/>
                <w:sz w:val="21"/>
                <w:szCs w:val="21"/>
              </w:rPr>
              <w:t>3000</w:t>
            </w:r>
            <w:r>
              <w:rPr>
                <w:rFonts w:hint="eastAsia" w:ascii="Times New Roman" w:hAnsi="Times New Roman"/>
                <w:b/>
                <w:bCs/>
                <w:sz w:val="21"/>
                <w:szCs w:val="21"/>
              </w:rPr>
              <w:t>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03" w:type="dxa"/>
            <w:tcMar>
              <w:top w:w="85" w:type="dxa"/>
              <w:left w:w="57" w:type="dxa"/>
              <w:bottom w:w="85" w:type="dxa"/>
              <w:right w:w="57" w:type="dxa"/>
            </w:tcMar>
            <w:vAlign w:val="center"/>
          </w:tcPr>
          <w:p>
            <w:pPr>
              <w:spacing w:line="400" w:lineRule="atLeast"/>
              <w:jc w:val="center"/>
              <w:rPr>
                <w:rFonts w:ascii="宋体" w:hAnsi="宋体"/>
                <w:sz w:val="21"/>
                <w:szCs w:val="21"/>
              </w:rPr>
            </w:pPr>
            <w:r>
              <w:rPr>
                <w:rFonts w:hint="eastAsia" w:ascii="宋体" w:hAnsi="宋体"/>
                <w:sz w:val="21"/>
                <w:szCs w:val="21"/>
              </w:rPr>
              <w:t>11</w:t>
            </w:r>
          </w:p>
        </w:tc>
        <w:tc>
          <w:tcPr>
            <w:tcW w:w="8354" w:type="dxa"/>
            <w:tcMar>
              <w:top w:w="85" w:type="dxa"/>
              <w:left w:w="57" w:type="dxa"/>
              <w:bottom w:w="85" w:type="dxa"/>
              <w:right w:w="57" w:type="dxa"/>
            </w:tcMar>
            <w:vAlign w:val="center"/>
          </w:tcPr>
          <w:p>
            <w:pPr>
              <w:spacing w:line="400" w:lineRule="atLeast"/>
              <w:rPr>
                <w:rFonts w:ascii="宋体" w:hAnsi="宋体"/>
                <w:sz w:val="21"/>
                <w:szCs w:val="21"/>
              </w:rPr>
            </w:pPr>
            <w:r>
              <w:rPr>
                <w:rFonts w:hint="eastAsia" w:ascii="宋体" w:hAnsi="宋体"/>
                <w:sz w:val="21"/>
                <w:szCs w:val="21"/>
              </w:rPr>
              <w:t>重要提示：</w:t>
            </w:r>
          </w:p>
          <w:p>
            <w:pPr>
              <w:spacing w:line="400" w:lineRule="atLeast"/>
              <w:ind w:firstLine="420"/>
              <w:rPr>
                <w:rFonts w:ascii="宋体" w:hAnsi="宋体"/>
                <w:sz w:val="21"/>
                <w:szCs w:val="21"/>
              </w:rPr>
            </w:pPr>
            <w:r>
              <w:rPr>
                <w:rFonts w:hint="eastAsia" w:ascii="宋体" w:hAnsi="宋体"/>
                <w:sz w:val="21"/>
                <w:szCs w:val="21"/>
              </w:rPr>
              <w:t>1、交通拥堵，递交磋商响应文件请提前做好准备。在规定的磋商截止时间之后送达的磋商响应文件将被拒收，敬请谅解。</w:t>
            </w:r>
          </w:p>
        </w:tc>
      </w:tr>
    </w:tbl>
    <w:p>
      <w:pPr>
        <w:spacing w:line="400" w:lineRule="atLeast"/>
        <w:jc w:val="center"/>
        <w:rPr>
          <w:rFonts w:ascii="宋体" w:hAnsi="宋体"/>
          <w:sz w:val="21"/>
          <w:szCs w:val="21"/>
        </w:rPr>
        <w:sectPr>
          <w:footerReference r:id="rId6" w:type="default"/>
          <w:pgSz w:w="11906" w:h="16838"/>
          <w:pgMar w:top="930" w:right="1179" w:bottom="38" w:left="1179" w:header="851" w:footer="992" w:gutter="0"/>
          <w:cols w:space="0" w:num="1"/>
          <w:docGrid w:type="lines" w:linePitch="312" w:charSpace="0"/>
        </w:sectPr>
      </w:pPr>
    </w:p>
    <w:p>
      <w:pPr>
        <w:pStyle w:val="7"/>
        <w:jc w:val="center"/>
        <w:rPr>
          <w:rFonts w:ascii="宋体" w:hAnsi="宋体" w:eastAsia="宋体"/>
        </w:rPr>
      </w:pPr>
      <w:bookmarkStart w:id="14" w:name="_Toc1954"/>
      <w:bookmarkStart w:id="15" w:name="_Toc20619"/>
      <w:r>
        <w:rPr>
          <w:rFonts w:hint="eastAsia" w:ascii="宋体" w:hAnsi="宋体" w:eastAsia="宋体"/>
        </w:rPr>
        <w:t>一、说明</w:t>
      </w:r>
      <w:bookmarkEnd w:id="14"/>
      <w:bookmarkEnd w:id="15"/>
    </w:p>
    <w:p>
      <w:pPr>
        <w:spacing w:line="360" w:lineRule="auto"/>
        <w:rPr>
          <w:rFonts w:ascii="宋体" w:hAnsi="宋体"/>
          <w:sz w:val="21"/>
          <w:szCs w:val="21"/>
        </w:rPr>
      </w:pPr>
      <w:r>
        <w:rPr>
          <w:rFonts w:ascii="宋体" w:hAnsi="宋体"/>
          <w:sz w:val="21"/>
          <w:szCs w:val="21"/>
        </w:rPr>
        <w:t xml:space="preserve">1. </w:t>
      </w:r>
      <w:r>
        <w:rPr>
          <w:rFonts w:hint="eastAsia" w:ascii="宋体" w:hAnsi="宋体"/>
          <w:sz w:val="21"/>
          <w:szCs w:val="21"/>
        </w:rPr>
        <w:t>适用范围</w:t>
      </w:r>
    </w:p>
    <w:p>
      <w:pPr>
        <w:spacing w:line="360" w:lineRule="auto"/>
        <w:ind w:firstLine="480"/>
        <w:rPr>
          <w:rFonts w:ascii="宋体" w:hAnsi="宋体"/>
          <w:sz w:val="21"/>
          <w:szCs w:val="21"/>
        </w:rPr>
      </w:pPr>
      <w:r>
        <w:rPr>
          <w:rFonts w:ascii="宋体" w:hAnsi="宋体"/>
          <w:sz w:val="21"/>
          <w:szCs w:val="21"/>
        </w:rPr>
        <w:t>1.1</w:t>
      </w:r>
      <w:r>
        <w:rPr>
          <w:rFonts w:hint="eastAsia" w:ascii="宋体" w:hAnsi="宋体"/>
          <w:sz w:val="21"/>
          <w:szCs w:val="21"/>
        </w:rPr>
        <w:t xml:space="preserve"> 本磋商文件仅适用于磋商邀请中所叙述项目的采购。</w:t>
      </w:r>
    </w:p>
    <w:p>
      <w:pPr>
        <w:spacing w:line="360" w:lineRule="auto"/>
        <w:rPr>
          <w:rFonts w:ascii="宋体" w:hAnsi="宋体"/>
          <w:sz w:val="21"/>
          <w:szCs w:val="21"/>
        </w:rPr>
      </w:pPr>
      <w:r>
        <w:rPr>
          <w:rFonts w:ascii="宋体" w:hAnsi="宋体"/>
          <w:sz w:val="21"/>
          <w:szCs w:val="21"/>
        </w:rPr>
        <w:t xml:space="preserve">2. </w:t>
      </w:r>
      <w:r>
        <w:rPr>
          <w:rFonts w:hint="eastAsia" w:ascii="宋体" w:hAnsi="宋体"/>
          <w:sz w:val="21"/>
          <w:szCs w:val="21"/>
        </w:rPr>
        <w:t>定义</w:t>
      </w:r>
    </w:p>
    <w:p>
      <w:pPr>
        <w:spacing w:line="360" w:lineRule="auto"/>
        <w:ind w:firstLine="480"/>
        <w:rPr>
          <w:rFonts w:ascii="宋体" w:hAnsi="宋体"/>
          <w:sz w:val="21"/>
          <w:szCs w:val="21"/>
        </w:rPr>
      </w:pPr>
      <w:r>
        <w:rPr>
          <w:rFonts w:ascii="宋体" w:hAnsi="宋体"/>
          <w:sz w:val="21"/>
          <w:szCs w:val="21"/>
        </w:rPr>
        <w:t>2.1</w:t>
      </w:r>
      <w:r>
        <w:rPr>
          <w:rFonts w:hint="eastAsia" w:ascii="宋体" w:hAnsi="宋体"/>
          <w:sz w:val="21"/>
          <w:szCs w:val="21"/>
        </w:rPr>
        <w:t xml:space="preserve"> “采购单位”系指组织本次磋商活动的采购人或招标代理机构</w:t>
      </w:r>
    </w:p>
    <w:p>
      <w:pPr>
        <w:spacing w:line="360" w:lineRule="auto"/>
        <w:ind w:firstLine="480"/>
        <w:rPr>
          <w:rFonts w:ascii="宋体" w:hAnsi="宋体"/>
          <w:sz w:val="21"/>
          <w:szCs w:val="21"/>
        </w:rPr>
      </w:pPr>
      <w:r>
        <w:rPr>
          <w:rFonts w:ascii="宋体" w:hAnsi="宋体"/>
          <w:sz w:val="21"/>
          <w:szCs w:val="21"/>
        </w:rPr>
        <w:t>2.</w:t>
      </w:r>
      <w:r>
        <w:rPr>
          <w:rFonts w:hint="eastAsia" w:ascii="宋体" w:hAnsi="宋体"/>
          <w:sz w:val="21"/>
          <w:szCs w:val="21"/>
        </w:rPr>
        <w:t>2 “采购人”系指本次本项目的委托方及其用户方。</w:t>
      </w:r>
    </w:p>
    <w:p>
      <w:pPr>
        <w:spacing w:line="360" w:lineRule="auto"/>
        <w:ind w:firstLine="480"/>
        <w:rPr>
          <w:rFonts w:ascii="宋体" w:hAnsi="宋体"/>
          <w:sz w:val="21"/>
          <w:szCs w:val="21"/>
        </w:rPr>
      </w:pPr>
      <w:r>
        <w:rPr>
          <w:rFonts w:ascii="宋体" w:hAnsi="宋体"/>
          <w:sz w:val="21"/>
          <w:szCs w:val="21"/>
        </w:rPr>
        <w:t>2.</w:t>
      </w:r>
      <w:r>
        <w:rPr>
          <w:rFonts w:hint="eastAsia" w:ascii="宋体" w:hAnsi="宋体"/>
          <w:sz w:val="21"/>
          <w:szCs w:val="21"/>
        </w:rPr>
        <w:t>3 “招标代理机构”系指组织本次采购项目的福建精磊信工程管理有限公司。</w:t>
      </w:r>
    </w:p>
    <w:p>
      <w:pPr>
        <w:spacing w:line="360" w:lineRule="auto"/>
        <w:ind w:firstLine="480"/>
        <w:rPr>
          <w:rFonts w:ascii="宋体" w:hAnsi="宋体"/>
          <w:sz w:val="21"/>
          <w:szCs w:val="21"/>
        </w:rPr>
      </w:pPr>
      <w:r>
        <w:rPr>
          <w:rFonts w:hint="eastAsia" w:ascii="宋体" w:hAnsi="宋体"/>
          <w:sz w:val="21"/>
          <w:szCs w:val="21"/>
        </w:rPr>
        <w:t>2</w:t>
      </w:r>
      <w:r>
        <w:rPr>
          <w:rFonts w:ascii="宋体" w:hAnsi="宋体"/>
          <w:sz w:val="21"/>
          <w:szCs w:val="21"/>
        </w:rPr>
        <w:t xml:space="preserve">.4 </w:t>
      </w:r>
      <w:r>
        <w:rPr>
          <w:rFonts w:hint="eastAsia" w:ascii="宋体" w:hAnsi="宋体"/>
          <w:sz w:val="21"/>
          <w:szCs w:val="21"/>
        </w:rPr>
        <w:t xml:space="preserve"> “磋商响应供应商”系指购买了本磋商文件，且已经提交或者准备提交本次磋商响应文件的供货商或服务商。</w:t>
      </w:r>
    </w:p>
    <w:p>
      <w:pPr>
        <w:spacing w:line="360" w:lineRule="auto"/>
        <w:rPr>
          <w:rFonts w:ascii="宋体" w:hAnsi="宋体"/>
          <w:sz w:val="21"/>
          <w:szCs w:val="21"/>
        </w:rPr>
      </w:pPr>
      <w:r>
        <w:rPr>
          <w:rFonts w:ascii="宋体" w:hAnsi="宋体"/>
          <w:sz w:val="21"/>
          <w:szCs w:val="21"/>
        </w:rPr>
        <w:t xml:space="preserve">3. </w:t>
      </w:r>
      <w:r>
        <w:rPr>
          <w:rFonts w:hint="eastAsia" w:ascii="宋体" w:hAnsi="宋体"/>
          <w:sz w:val="21"/>
          <w:szCs w:val="21"/>
        </w:rPr>
        <w:t>合格的磋商响应供应商</w:t>
      </w:r>
    </w:p>
    <w:p>
      <w:pPr>
        <w:spacing w:line="360" w:lineRule="auto"/>
        <w:ind w:firstLine="480"/>
        <w:rPr>
          <w:rFonts w:ascii="宋体" w:hAnsi="宋体"/>
          <w:sz w:val="21"/>
          <w:szCs w:val="21"/>
        </w:rPr>
      </w:pPr>
      <w:r>
        <w:rPr>
          <w:rFonts w:ascii="宋体" w:hAnsi="宋体"/>
          <w:sz w:val="21"/>
          <w:szCs w:val="21"/>
        </w:rPr>
        <w:t>3.1</w:t>
      </w:r>
      <w:r>
        <w:rPr>
          <w:rFonts w:hint="eastAsia" w:ascii="宋体" w:hAnsi="宋体"/>
          <w:sz w:val="21"/>
          <w:szCs w:val="21"/>
        </w:rPr>
        <w:t xml:space="preserve"> 凡有能力提供本磋商文件所述货物及服务的，符合本磋商文件规定资格要求的境内供货商或服务商均可能成为合格的磋商响应供应商。</w:t>
      </w:r>
    </w:p>
    <w:p>
      <w:pPr>
        <w:spacing w:line="360" w:lineRule="auto"/>
        <w:ind w:firstLine="480"/>
        <w:rPr>
          <w:rFonts w:ascii="宋体" w:hAnsi="宋体"/>
          <w:sz w:val="21"/>
          <w:szCs w:val="21"/>
        </w:rPr>
      </w:pPr>
      <w:r>
        <w:rPr>
          <w:rFonts w:ascii="宋体" w:hAnsi="宋体"/>
          <w:sz w:val="21"/>
          <w:szCs w:val="21"/>
        </w:rPr>
        <w:t>3.2</w:t>
      </w:r>
      <w:r>
        <w:rPr>
          <w:rFonts w:hint="eastAsia" w:ascii="宋体" w:hAnsi="宋体"/>
          <w:sz w:val="21"/>
          <w:szCs w:val="21"/>
        </w:rPr>
        <w:t xml:space="preserve"> 磋商响应供应商应遵守中国的有关法律、法规和规章的规定。</w:t>
      </w:r>
    </w:p>
    <w:p>
      <w:pPr>
        <w:spacing w:line="360" w:lineRule="auto"/>
        <w:ind w:firstLine="480"/>
        <w:rPr>
          <w:rFonts w:ascii="宋体" w:hAnsi="宋体"/>
          <w:sz w:val="21"/>
          <w:szCs w:val="21"/>
        </w:rPr>
      </w:pPr>
      <w:r>
        <w:rPr>
          <w:rFonts w:hint="eastAsia" w:ascii="宋体" w:hAnsi="宋体"/>
          <w:sz w:val="21"/>
          <w:szCs w:val="21"/>
        </w:rPr>
        <w:t>3.3 一个磋商响应供应商只能提交一个磋商响应文件。如果磋商响应供应商之间存在下列互为关联关系的情形之一的，不得同时参加本项目磋商：</w:t>
      </w:r>
    </w:p>
    <w:p>
      <w:pPr>
        <w:spacing w:line="360" w:lineRule="auto"/>
        <w:ind w:firstLine="420" w:firstLineChars="200"/>
        <w:rPr>
          <w:rFonts w:ascii="宋体" w:hAnsi="宋体"/>
          <w:sz w:val="21"/>
          <w:szCs w:val="21"/>
        </w:rPr>
      </w:pPr>
      <w:r>
        <w:rPr>
          <w:rFonts w:hint="eastAsia" w:ascii="宋体" w:hAnsi="宋体"/>
          <w:sz w:val="21"/>
          <w:szCs w:val="21"/>
        </w:rPr>
        <w:t>（1） 法定代表人为同一人的两个及两个以上法人；</w:t>
      </w:r>
    </w:p>
    <w:p>
      <w:pPr>
        <w:spacing w:line="360" w:lineRule="auto"/>
        <w:ind w:firstLine="420" w:firstLineChars="200"/>
        <w:rPr>
          <w:rFonts w:ascii="宋体" w:hAnsi="宋体"/>
          <w:sz w:val="21"/>
          <w:szCs w:val="21"/>
        </w:rPr>
      </w:pPr>
      <w:r>
        <w:rPr>
          <w:rFonts w:hint="eastAsia" w:ascii="宋体" w:hAnsi="宋体"/>
          <w:sz w:val="21"/>
          <w:szCs w:val="21"/>
        </w:rPr>
        <w:t>（2） 母公司及其直接或间接持股50％及以上的被投资公司；</w:t>
      </w:r>
    </w:p>
    <w:p>
      <w:pPr>
        <w:spacing w:line="360" w:lineRule="auto"/>
        <w:ind w:firstLine="420" w:firstLineChars="200"/>
        <w:rPr>
          <w:rFonts w:ascii="宋体" w:hAnsi="宋体"/>
          <w:sz w:val="21"/>
          <w:szCs w:val="21"/>
        </w:rPr>
      </w:pPr>
      <w:r>
        <w:rPr>
          <w:rFonts w:hint="eastAsia" w:ascii="宋体" w:hAnsi="宋体"/>
          <w:sz w:val="21"/>
          <w:szCs w:val="21"/>
        </w:rPr>
        <w:t>（3） 均为同一家母公司直接或间接持股50％及以上的被投资公司。</w:t>
      </w:r>
    </w:p>
    <w:p>
      <w:pPr>
        <w:spacing w:line="360" w:lineRule="auto"/>
        <w:ind w:firstLine="480"/>
        <w:rPr>
          <w:rFonts w:ascii="宋体" w:hAnsi="宋体"/>
          <w:sz w:val="21"/>
          <w:szCs w:val="21"/>
        </w:rPr>
      </w:pPr>
      <w:r>
        <w:rPr>
          <w:rFonts w:hint="eastAsia" w:ascii="宋体" w:hAnsi="宋体"/>
          <w:sz w:val="21"/>
          <w:szCs w:val="21"/>
        </w:rPr>
        <w:t>3.4 本项目不接受联合体响应。</w:t>
      </w:r>
    </w:p>
    <w:p>
      <w:pPr>
        <w:spacing w:line="360" w:lineRule="auto"/>
        <w:ind w:firstLine="480"/>
        <w:rPr>
          <w:rFonts w:ascii="宋体" w:hAnsi="宋体"/>
          <w:sz w:val="21"/>
          <w:szCs w:val="21"/>
        </w:rPr>
      </w:pPr>
      <w:r>
        <w:rPr>
          <w:rFonts w:hint="eastAsia" w:ascii="宋体" w:hAnsi="宋体"/>
          <w:sz w:val="21"/>
          <w:szCs w:val="21"/>
        </w:rPr>
        <w:t>3.5磋商代理人在同一个项目中只能接受一个磋商响应供应商的委托参加磋商。</w:t>
      </w:r>
    </w:p>
    <w:p>
      <w:pPr>
        <w:spacing w:line="360" w:lineRule="auto"/>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 xml:space="preserve"> 磋商响应费用</w:t>
      </w:r>
    </w:p>
    <w:p>
      <w:pPr>
        <w:spacing w:line="360" w:lineRule="auto"/>
        <w:ind w:firstLine="420" w:firstLineChars="200"/>
        <w:rPr>
          <w:rFonts w:ascii="宋体" w:hAnsi="宋体"/>
          <w:sz w:val="21"/>
          <w:szCs w:val="21"/>
        </w:rPr>
      </w:pPr>
      <w:r>
        <w:rPr>
          <w:rFonts w:hint="eastAsia" w:ascii="宋体" w:hAnsi="宋体"/>
          <w:sz w:val="21"/>
          <w:szCs w:val="21"/>
        </w:rPr>
        <w:t>4.1 磋商响应供应商自行承担其响应磋商所涉及的一切费用。不论磋商结果如何，“采购人”、“招标代理机构”均无义务和责任承担这些费用。</w:t>
      </w:r>
    </w:p>
    <w:p>
      <w:pPr>
        <w:spacing w:line="360" w:lineRule="auto"/>
        <w:rPr>
          <w:rFonts w:ascii="宋体" w:hAnsi="宋体"/>
          <w:sz w:val="21"/>
          <w:szCs w:val="21"/>
        </w:rPr>
      </w:pPr>
    </w:p>
    <w:p>
      <w:pPr>
        <w:pStyle w:val="7"/>
        <w:jc w:val="center"/>
        <w:rPr>
          <w:rFonts w:ascii="宋体" w:hAnsi="宋体" w:eastAsia="宋体"/>
        </w:rPr>
      </w:pPr>
      <w:bookmarkStart w:id="16" w:name="_Toc4542"/>
      <w:bookmarkStart w:id="17" w:name="_Toc14218"/>
      <w:r>
        <w:rPr>
          <w:rFonts w:hint="eastAsia" w:ascii="宋体" w:hAnsi="宋体" w:eastAsia="宋体"/>
        </w:rPr>
        <w:t>二、磋商文件</w:t>
      </w:r>
      <w:bookmarkEnd w:id="16"/>
      <w:bookmarkEnd w:id="17"/>
    </w:p>
    <w:p>
      <w:pPr>
        <w:spacing w:line="360" w:lineRule="auto"/>
        <w:rPr>
          <w:rFonts w:ascii="宋体" w:hAnsi="宋体"/>
          <w:sz w:val="21"/>
          <w:szCs w:val="21"/>
        </w:rPr>
      </w:pPr>
      <w:r>
        <w:rPr>
          <w:rFonts w:hint="eastAsia" w:ascii="宋体" w:hAnsi="宋体"/>
          <w:sz w:val="21"/>
          <w:szCs w:val="21"/>
        </w:rPr>
        <w:t>5</w:t>
      </w:r>
      <w:r>
        <w:rPr>
          <w:rFonts w:ascii="宋体" w:hAnsi="宋体"/>
          <w:sz w:val="21"/>
          <w:szCs w:val="21"/>
        </w:rPr>
        <w:t xml:space="preserve">. </w:t>
      </w:r>
      <w:r>
        <w:rPr>
          <w:rFonts w:hint="eastAsia" w:ascii="宋体" w:hAnsi="宋体"/>
          <w:sz w:val="21"/>
          <w:szCs w:val="21"/>
        </w:rPr>
        <w:t>磋商文件的组成</w:t>
      </w:r>
    </w:p>
    <w:p>
      <w:pPr>
        <w:spacing w:line="360" w:lineRule="auto"/>
        <w:ind w:firstLine="480"/>
        <w:rPr>
          <w:rFonts w:ascii="宋体" w:hAnsi="宋体"/>
          <w:sz w:val="21"/>
          <w:szCs w:val="21"/>
        </w:rPr>
      </w:pPr>
      <w:r>
        <w:rPr>
          <w:rFonts w:ascii="宋体" w:hAnsi="宋体"/>
          <w:sz w:val="21"/>
          <w:szCs w:val="21"/>
        </w:rPr>
        <w:t>5.1</w:t>
      </w:r>
      <w:r>
        <w:rPr>
          <w:rFonts w:hint="eastAsia" w:ascii="宋体" w:hAnsi="宋体"/>
          <w:sz w:val="21"/>
          <w:szCs w:val="21"/>
        </w:rPr>
        <w:t xml:space="preserve"> </w:t>
      </w:r>
      <w:r>
        <w:rPr>
          <w:rFonts w:ascii="宋体" w:hAnsi="宋体"/>
          <w:sz w:val="21"/>
          <w:szCs w:val="21"/>
        </w:rPr>
        <w:t>磋商文件用以阐明所需货物及服务</w:t>
      </w:r>
      <w:r>
        <w:rPr>
          <w:rFonts w:hint="eastAsia" w:ascii="宋体" w:hAnsi="宋体"/>
          <w:sz w:val="21"/>
          <w:szCs w:val="21"/>
        </w:rPr>
        <w:t>磋商</w:t>
      </w:r>
      <w:r>
        <w:rPr>
          <w:rFonts w:ascii="宋体" w:hAnsi="宋体"/>
          <w:sz w:val="21"/>
          <w:szCs w:val="21"/>
        </w:rPr>
        <w:t>程序、内容和合同主要条款。磋商文件由下述部分组成：</w:t>
      </w:r>
    </w:p>
    <w:p>
      <w:pPr>
        <w:spacing w:line="360" w:lineRule="auto"/>
        <w:ind w:firstLine="480"/>
        <w:rPr>
          <w:rFonts w:ascii="宋体" w:hAnsi="宋体"/>
          <w:sz w:val="21"/>
          <w:szCs w:val="21"/>
        </w:rPr>
      </w:pPr>
      <w:r>
        <w:rPr>
          <w:rFonts w:ascii="宋体" w:hAnsi="宋体"/>
          <w:sz w:val="21"/>
          <w:szCs w:val="21"/>
        </w:rPr>
        <w:t>（1） 磋商邀请</w:t>
      </w:r>
    </w:p>
    <w:p>
      <w:pPr>
        <w:pStyle w:val="11"/>
        <w:snapToGrid w:val="0"/>
        <w:ind w:firstLineChars="200"/>
        <w:rPr>
          <w:rFonts w:hint="default" w:hAnsi="宋体"/>
          <w:sz w:val="21"/>
          <w:szCs w:val="21"/>
        </w:rPr>
      </w:pPr>
      <w:r>
        <w:rPr>
          <w:rFonts w:hAnsi="宋体"/>
          <w:sz w:val="21"/>
          <w:szCs w:val="21"/>
        </w:rPr>
        <w:t xml:space="preserve">（2） 磋商响应供应商须知 </w:t>
      </w:r>
    </w:p>
    <w:p>
      <w:pPr>
        <w:pStyle w:val="11"/>
        <w:snapToGrid w:val="0"/>
        <w:ind w:firstLineChars="200"/>
        <w:rPr>
          <w:rFonts w:hint="default" w:hAnsi="宋体"/>
          <w:sz w:val="21"/>
          <w:szCs w:val="21"/>
        </w:rPr>
      </w:pPr>
      <w:r>
        <w:rPr>
          <w:rFonts w:hAnsi="宋体"/>
          <w:sz w:val="21"/>
          <w:szCs w:val="21"/>
        </w:rPr>
        <w:t>（3） 项目内容及要求</w:t>
      </w:r>
    </w:p>
    <w:p>
      <w:pPr>
        <w:pStyle w:val="11"/>
        <w:snapToGrid w:val="0"/>
        <w:ind w:firstLineChars="200"/>
        <w:rPr>
          <w:rFonts w:hint="default" w:hAnsi="宋体"/>
          <w:sz w:val="21"/>
          <w:szCs w:val="21"/>
        </w:rPr>
      </w:pPr>
      <w:r>
        <w:rPr>
          <w:rFonts w:hAnsi="宋体"/>
          <w:sz w:val="21"/>
          <w:szCs w:val="21"/>
        </w:rPr>
        <w:t>（4） 磋商响应文件格式</w:t>
      </w:r>
    </w:p>
    <w:p>
      <w:pPr>
        <w:spacing w:line="360" w:lineRule="auto"/>
        <w:rPr>
          <w:rFonts w:ascii="宋体" w:hAnsi="宋体"/>
          <w:sz w:val="21"/>
          <w:szCs w:val="21"/>
        </w:rPr>
      </w:pPr>
      <w:bookmarkStart w:id="18" w:name="_Toc430488644"/>
      <w:bookmarkStart w:id="19" w:name="_Toc430492126"/>
      <w:bookmarkStart w:id="20" w:name="_Toc430489119"/>
      <w:bookmarkStart w:id="21" w:name="_Toc415567497"/>
      <w:bookmarkStart w:id="22" w:name="_Toc430488851"/>
      <w:bookmarkStart w:id="23" w:name="_Toc430490612"/>
      <w:bookmarkStart w:id="24" w:name="_Toc430422413"/>
      <w:r>
        <w:rPr>
          <w:rFonts w:hint="eastAsia" w:ascii="宋体" w:hAnsi="宋体"/>
          <w:sz w:val="21"/>
          <w:szCs w:val="21"/>
        </w:rPr>
        <w:t>6.</w:t>
      </w:r>
      <w:bookmarkEnd w:id="18"/>
      <w:bookmarkEnd w:id="19"/>
      <w:bookmarkEnd w:id="20"/>
      <w:bookmarkEnd w:id="21"/>
      <w:bookmarkEnd w:id="22"/>
      <w:bookmarkEnd w:id="23"/>
      <w:bookmarkEnd w:id="24"/>
      <w:r>
        <w:rPr>
          <w:rFonts w:hint="eastAsia" w:ascii="宋体" w:hAnsi="宋体"/>
          <w:sz w:val="21"/>
          <w:szCs w:val="21"/>
        </w:rPr>
        <w:t xml:space="preserve"> 磋商文件的澄清</w:t>
      </w:r>
    </w:p>
    <w:p>
      <w:pPr>
        <w:spacing w:line="360" w:lineRule="auto"/>
        <w:ind w:firstLine="480"/>
        <w:rPr>
          <w:rFonts w:ascii="宋体" w:hAnsi="宋体"/>
          <w:sz w:val="21"/>
          <w:szCs w:val="21"/>
        </w:rPr>
      </w:pPr>
      <w:r>
        <w:rPr>
          <w:rFonts w:ascii="宋体" w:hAnsi="宋体"/>
          <w:sz w:val="21"/>
          <w:szCs w:val="21"/>
        </w:rPr>
        <w:t>6.1 磋商响应供应商对磋商文件如有疑点，可要求澄清。要求澄清应按</w:t>
      </w:r>
      <w:r>
        <w:rPr>
          <w:rFonts w:hint="eastAsia" w:ascii="宋体" w:hAnsi="宋体"/>
          <w:sz w:val="21"/>
          <w:szCs w:val="21"/>
        </w:rPr>
        <w:t>磋商</w:t>
      </w:r>
      <w:r>
        <w:rPr>
          <w:rFonts w:ascii="宋体" w:hAnsi="宋体"/>
          <w:sz w:val="21"/>
          <w:szCs w:val="21"/>
        </w:rPr>
        <w:t>邀请中载明的</w:t>
      </w:r>
      <w:r>
        <w:rPr>
          <w:rFonts w:hint="eastAsia" w:ascii="宋体" w:hAnsi="宋体"/>
          <w:sz w:val="21"/>
          <w:szCs w:val="21"/>
        </w:rPr>
        <w:t>时间、</w:t>
      </w:r>
      <w:r>
        <w:rPr>
          <w:rFonts w:ascii="宋体" w:hAnsi="宋体"/>
          <w:sz w:val="21"/>
          <w:szCs w:val="21"/>
        </w:rPr>
        <w:t>地址</w:t>
      </w:r>
      <w:r>
        <w:rPr>
          <w:rFonts w:hint="eastAsia" w:ascii="宋体" w:hAnsi="宋体"/>
          <w:sz w:val="21"/>
          <w:szCs w:val="21"/>
        </w:rPr>
        <w:t>可到（厦门市思明区莲岳路221-1号公交大厦1号楼6楼）领取以书面的形式</w:t>
      </w:r>
      <w:r>
        <w:rPr>
          <w:rFonts w:ascii="宋体" w:hAnsi="宋体"/>
          <w:sz w:val="21"/>
          <w:szCs w:val="21"/>
        </w:rPr>
        <w:t>通知招标代理机构。招标代理机构将视情况在原采购信息发布媒体上发布更正公告。该澄清内容为磋商文件的组成部分。</w:t>
      </w:r>
    </w:p>
    <w:p>
      <w:pPr>
        <w:spacing w:line="360" w:lineRule="auto"/>
        <w:rPr>
          <w:rFonts w:ascii="宋体" w:hAnsi="宋体"/>
          <w:bCs/>
          <w:sz w:val="21"/>
          <w:szCs w:val="21"/>
        </w:rPr>
      </w:pPr>
      <w:bookmarkStart w:id="25" w:name="_Toc430489120"/>
      <w:bookmarkStart w:id="26" w:name="_Toc430422414"/>
      <w:bookmarkStart w:id="27" w:name="_Toc430488852"/>
      <w:bookmarkStart w:id="28" w:name="_Toc430492127"/>
      <w:bookmarkStart w:id="29" w:name="_Toc415567498"/>
      <w:bookmarkStart w:id="30" w:name="_Toc430488645"/>
      <w:bookmarkStart w:id="31" w:name="_Toc430490613"/>
      <w:r>
        <w:rPr>
          <w:rFonts w:hint="eastAsia" w:ascii="宋体" w:hAnsi="宋体"/>
          <w:bCs/>
          <w:sz w:val="21"/>
          <w:szCs w:val="21"/>
        </w:rPr>
        <w:t>7. 磋商文件的修改</w:t>
      </w:r>
      <w:bookmarkEnd w:id="25"/>
      <w:bookmarkEnd w:id="26"/>
      <w:bookmarkEnd w:id="27"/>
      <w:bookmarkEnd w:id="28"/>
      <w:bookmarkEnd w:id="29"/>
      <w:bookmarkEnd w:id="30"/>
      <w:bookmarkEnd w:id="31"/>
    </w:p>
    <w:p>
      <w:pPr>
        <w:spacing w:line="360" w:lineRule="auto"/>
        <w:ind w:firstLine="472" w:firstLineChars="225"/>
        <w:rPr>
          <w:rFonts w:ascii="宋体" w:hAnsi="宋体"/>
          <w:sz w:val="21"/>
          <w:szCs w:val="21"/>
        </w:rPr>
      </w:pPr>
      <w:r>
        <w:rPr>
          <w:rFonts w:ascii="宋体" w:hAnsi="宋体"/>
          <w:sz w:val="21"/>
          <w:szCs w:val="21"/>
        </w:rPr>
        <w:t>7.</w:t>
      </w:r>
      <w:r>
        <w:rPr>
          <w:rFonts w:hint="eastAsia" w:ascii="宋体" w:hAnsi="宋体"/>
          <w:sz w:val="21"/>
          <w:szCs w:val="21"/>
        </w:rPr>
        <w:t>1</w:t>
      </w:r>
      <w:r>
        <w:rPr>
          <w:rFonts w:ascii="宋体" w:hAnsi="宋体"/>
          <w:sz w:val="21"/>
          <w:szCs w:val="21"/>
        </w:rPr>
        <w:t>招标代理机构可主动或依磋商响应供应商要求澄清的问题而修改磋商文件，但应当在原信息发布媒体上发布更正公告。该修改内容为磋商文件的组成部分，对磋商响应供应商具有约束力。</w:t>
      </w:r>
      <w:r>
        <w:rPr>
          <w:rFonts w:hint="eastAsia" w:ascii="宋体" w:hAnsi="宋体"/>
          <w:sz w:val="21"/>
          <w:szCs w:val="21"/>
        </w:rPr>
        <w:t>磋商响应供应商可查询相关网站内容也可向招标代理机构索取书面修改文件。磋商响应供应商在收到该文件后应以书面形式予以确认，否则视为收悉。磋商响应供应商编制磋商响应文件时被视为已考虑了上述修改。</w:t>
      </w:r>
    </w:p>
    <w:p>
      <w:pPr>
        <w:spacing w:line="360" w:lineRule="auto"/>
        <w:ind w:firstLine="480"/>
        <w:rPr>
          <w:rFonts w:ascii="宋体" w:hAnsi="宋体"/>
          <w:sz w:val="21"/>
          <w:szCs w:val="21"/>
        </w:rPr>
      </w:pPr>
      <w:r>
        <w:rPr>
          <w:rFonts w:hint="eastAsia" w:ascii="宋体" w:hAnsi="宋体"/>
          <w:sz w:val="21"/>
          <w:szCs w:val="21"/>
        </w:rPr>
        <w:t>7.2 为使磋商响应供应商在准备磋商响应文件时有合理的时间考虑磋商响应文件的修改，招标代理机构可酌情推迟磋商截止时间和磋商时间。</w:t>
      </w:r>
      <w:r>
        <w:rPr>
          <w:rFonts w:ascii="宋体" w:hAnsi="宋体"/>
          <w:sz w:val="21"/>
          <w:szCs w:val="21"/>
        </w:rPr>
        <w:t xml:space="preserve"> </w:t>
      </w:r>
    </w:p>
    <w:p>
      <w:pPr>
        <w:spacing w:line="360" w:lineRule="auto"/>
        <w:ind w:firstLine="472" w:firstLineChars="225"/>
        <w:rPr>
          <w:rFonts w:ascii="宋体" w:hAnsi="宋体"/>
          <w:sz w:val="21"/>
          <w:szCs w:val="21"/>
        </w:rPr>
      </w:pPr>
      <w:r>
        <w:rPr>
          <w:rFonts w:hint="eastAsia" w:ascii="宋体" w:hAnsi="宋体"/>
          <w:sz w:val="21"/>
          <w:szCs w:val="21"/>
        </w:rPr>
        <w:t>7.3答疑文件、补充通知、修改通知将构成磋商文件的一部分，对磋商双方均有约束力；答疑文件、补充通知、修改通知与磋商文件不一致的部分及内容以前者为准；答疑文件、补充通知、修改通知内容不一致，以最后一次发出的为准。</w:t>
      </w:r>
    </w:p>
    <w:p>
      <w:pPr>
        <w:pStyle w:val="7"/>
        <w:jc w:val="center"/>
        <w:rPr>
          <w:rFonts w:ascii="宋体" w:hAnsi="宋体" w:eastAsia="宋体"/>
        </w:rPr>
      </w:pPr>
      <w:bookmarkStart w:id="32" w:name="_Toc25952"/>
      <w:bookmarkStart w:id="33" w:name="_Toc12040"/>
      <w:r>
        <w:rPr>
          <w:rFonts w:hint="eastAsia" w:ascii="宋体" w:hAnsi="宋体" w:eastAsia="宋体"/>
        </w:rPr>
        <w:t>三、磋商响应文件的编写</w:t>
      </w:r>
      <w:bookmarkEnd w:id="32"/>
      <w:bookmarkEnd w:id="33"/>
    </w:p>
    <w:p>
      <w:pPr>
        <w:spacing w:line="360" w:lineRule="auto"/>
        <w:rPr>
          <w:rFonts w:ascii="宋体" w:hAnsi="宋体"/>
          <w:sz w:val="21"/>
          <w:szCs w:val="21"/>
        </w:rPr>
      </w:pPr>
      <w:r>
        <w:rPr>
          <w:rFonts w:hint="eastAsia" w:ascii="宋体" w:hAnsi="宋体"/>
          <w:sz w:val="21"/>
          <w:szCs w:val="21"/>
        </w:rPr>
        <w:t>8</w:t>
      </w:r>
      <w:r>
        <w:rPr>
          <w:rFonts w:ascii="宋体" w:hAnsi="宋体"/>
          <w:sz w:val="21"/>
          <w:szCs w:val="21"/>
        </w:rPr>
        <w:t xml:space="preserve">. </w:t>
      </w:r>
      <w:r>
        <w:rPr>
          <w:rFonts w:hint="eastAsia" w:ascii="宋体" w:hAnsi="宋体"/>
          <w:sz w:val="21"/>
          <w:szCs w:val="21"/>
        </w:rPr>
        <w:t>要求</w:t>
      </w:r>
    </w:p>
    <w:p>
      <w:pPr>
        <w:spacing w:line="360" w:lineRule="auto"/>
        <w:ind w:firstLine="480"/>
        <w:rPr>
          <w:rFonts w:ascii="宋体" w:hAnsi="宋体"/>
          <w:sz w:val="21"/>
          <w:szCs w:val="21"/>
        </w:rPr>
      </w:pPr>
      <w:r>
        <w:rPr>
          <w:rFonts w:hint="eastAsia" w:ascii="宋体" w:hAnsi="宋体"/>
          <w:sz w:val="21"/>
          <w:szCs w:val="21"/>
        </w:rPr>
        <w:t>8.1 磋商响应供应商应仔细阅读磋商文件的所有内容，按照磋商文件的要求提交磋商响应文件。磋商响应文件应对磋商文件的要求作出实质性响应，并保证所提供的全部资料的真实性，否则其磋商响应将被拒绝。</w:t>
      </w:r>
    </w:p>
    <w:p>
      <w:pPr>
        <w:spacing w:line="360" w:lineRule="auto"/>
        <w:ind w:firstLine="480"/>
        <w:rPr>
          <w:rFonts w:ascii="宋体" w:hAnsi="宋体"/>
          <w:sz w:val="21"/>
          <w:szCs w:val="21"/>
        </w:rPr>
      </w:pPr>
      <w:r>
        <w:rPr>
          <w:rFonts w:hint="eastAsia" w:ascii="宋体" w:hAnsi="宋体"/>
          <w:sz w:val="21"/>
          <w:szCs w:val="21"/>
        </w:rPr>
        <w:t>8.2 除非有另外的规定，不接受有任何可选择性的报价，每一种货物（或服务）只能有一个报价。</w:t>
      </w:r>
    </w:p>
    <w:p>
      <w:pPr>
        <w:spacing w:line="360" w:lineRule="auto"/>
        <w:rPr>
          <w:rFonts w:ascii="宋体" w:hAnsi="宋体"/>
          <w:sz w:val="21"/>
          <w:szCs w:val="21"/>
        </w:rPr>
      </w:pPr>
      <w:r>
        <w:rPr>
          <w:rFonts w:hint="eastAsia" w:ascii="宋体" w:hAnsi="宋体"/>
          <w:sz w:val="21"/>
          <w:szCs w:val="21"/>
        </w:rPr>
        <w:t>9</w:t>
      </w:r>
      <w:r>
        <w:rPr>
          <w:rFonts w:ascii="宋体" w:hAnsi="宋体"/>
          <w:sz w:val="21"/>
          <w:szCs w:val="21"/>
        </w:rPr>
        <w:t xml:space="preserve">. </w:t>
      </w:r>
      <w:r>
        <w:rPr>
          <w:rFonts w:hint="eastAsia" w:ascii="宋体" w:hAnsi="宋体"/>
          <w:sz w:val="21"/>
          <w:szCs w:val="21"/>
        </w:rPr>
        <w:t>磋商响应文件语言</w:t>
      </w:r>
    </w:p>
    <w:p>
      <w:pPr>
        <w:spacing w:line="360" w:lineRule="auto"/>
        <w:ind w:firstLine="480"/>
        <w:rPr>
          <w:rFonts w:ascii="宋体" w:hAnsi="宋体"/>
          <w:sz w:val="21"/>
          <w:szCs w:val="21"/>
        </w:rPr>
      </w:pPr>
      <w:r>
        <w:rPr>
          <w:rFonts w:hint="eastAsia" w:ascii="宋体" w:hAnsi="宋体"/>
          <w:sz w:val="21"/>
          <w:szCs w:val="21"/>
        </w:rPr>
        <w:t>9.1 磋商响应文件应用中文书写。磋商响应文件中所附或所引用的原件不是中文时，应附中文译本。各种计量单位及符号应采用国际上统一使用的公制计量单位和符号。</w:t>
      </w:r>
    </w:p>
    <w:p>
      <w:pPr>
        <w:spacing w:line="360" w:lineRule="auto"/>
        <w:rPr>
          <w:rFonts w:ascii="宋体" w:hAnsi="宋体"/>
          <w:sz w:val="21"/>
          <w:szCs w:val="21"/>
        </w:rPr>
      </w:pPr>
      <w:r>
        <w:rPr>
          <w:rFonts w:hint="eastAsia" w:ascii="宋体" w:hAnsi="宋体"/>
          <w:sz w:val="21"/>
          <w:szCs w:val="21"/>
        </w:rPr>
        <w:t>10</w:t>
      </w:r>
      <w:r>
        <w:rPr>
          <w:rFonts w:ascii="宋体" w:hAnsi="宋体"/>
          <w:sz w:val="21"/>
          <w:szCs w:val="21"/>
        </w:rPr>
        <w:t xml:space="preserve">. </w:t>
      </w:r>
      <w:r>
        <w:rPr>
          <w:rFonts w:hint="eastAsia" w:ascii="宋体" w:hAnsi="宋体"/>
          <w:sz w:val="21"/>
          <w:szCs w:val="21"/>
        </w:rPr>
        <w:t>磋商响应文件的组成，磋商响应文件应包括下列部分：</w:t>
      </w:r>
    </w:p>
    <w:p>
      <w:pPr>
        <w:numPr>
          <w:ilvl w:val="0"/>
          <w:numId w:val="3"/>
        </w:numPr>
        <w:spacing w:line="360" w:lineRule="auto"/>
        <w:rPr>
          <w:rFonts w:ascii="宋体" w:hAnsi="宋体"/>
          <w:sz w:val="21"/>
          <w:szCs w:val="21"/>
        </w:rPr>
      </w:pPr>
      <w:r>
        <w:rPr>
          <w:rFonts w:hint="eastAsia" w:ascii="宋体" w:hAnsi="宋体"/>
          <w:sz w:val="21"/>
          <w:szCs w:val="21"/>
        </w:rPr>
        <w:t>磋商响应声明函</w:t>
      </w:r>
    </w:p>
    <w:p>
      <w:pPr>
        <w:numPr>
          <w:ilvl w:val="0"/>
          <w:numId w:val="3"/>
        </w:numPr>
        <w:spacing w:line="360" w:lineRule="auto"/>
        <w:rPr>
          <w:rFonts w:ascii="宋体" w:hAnsi="宋体"/>
          <w:sz w:val="21"/>
          <w:szCs w:val="21"/>
        </w:rPr>
      </w:pPr>
      <w:r>
        <w:rPr>
          <w:rFonts w:hint="eastAsia" w:ascii="宋体" w:hAnsi="宋体"/>
          <w:sz w:val="21"/>
          <w:szCs w:val="21"/>
        </w:rPr>
        <w:t>报价一览表</w:t>
      </w:r>
    </w:p>
    <w:p>
      <w:pPr>
        <w:numPr>
          <w:ilvl w:val="0"/>
          <w:numId w:val="3"/>
        </w:numPr>
        <w:spacing w:line="360" w:lineRule="auto"/>
        <w:rPr>
          <w:rFonts w:ascii="宋体" w:hAnsi="宋体"/>
          <w:sz w:val="21"/>
          <w:szCs w:val="21"/>
        </w:rPr>
      </w:pPr>
      <w:r>
        <w:rPr>
          <w:rFonts w:hint="eastAsia" w:ascii="宋体" w:hAnsi="宋体"/>
          <w:sz w:val="21"/>
          <w:szCs w:val="21"/>
        </w:rPr>
        <w:t>分项报价表</w:t>
      </w:r>
    </w:p>
    <w:p>
      <w:pPr>
        <w:numPr>
          <w:ilvl w:val="0"/>
          <w:numId w:val="3"/>
        </w:numPr>
        <w:spacing w:line="360" w:lineRule="auto"/>
        <w:rPr>
          <w:rFonts w:ascii="宋体" w:hAnsi="宋体"/>
          <w:sz w:val="21"/>
          <w:szCs w:val="21"/>
        </w:rPr>
      </w:pPr>
      <w:r>
        <w:rPr>
          <w:rFonts w:hint="eastAsia" w:ascii="宋体" w:hAnsi="宋体"/>
          <w:sz w:val="21"/>
          <w:szCs w:val="21"/>
        </w:rPr>
        <w:t>货物说明一览表</w:t>
      </w:r>
    </w:p>
    <w:p>
      <w:pPr>
        <w:numPr>
          <w:ilvl w:val="0"/>
          <w:numId w:val="3"/>
        </w:numPr>
        <w:spacing w:line="360" w:lineRule="auto"/>
        <w:rPr>
          <w:rFonts w:ascii="宋体" w:hAnsi="宋体"/>
          <w:sz w:val="21"/>
          <w:szCs w:val="21"/>
        </w:rPr>
      </w:pPr>
      <w:r>
        <w:rPr>
          <w:rFonts w:hint="eastAsia" w:ascii="宋体" w:hAnsi="宋体"/>
          <w:sz w:val="21"/>
          <w:szCs w:val="21"/>
        </w:rPr>
        <w:t>供货范围清单</w:t>
      </w:r>
    </w:p>
    <w:p>
      <w:pPr>
        <w:numPr>
          <w:ilvl w:val="0"/>
          <w:numId w:val="3"/>
        </w:numPr>
        <w:spacing w:line="360" w:lineRule="auto"/>
        <w:rPr>
          <w:rFonts w:ascii="宋体" w:hAnsi="宋体"/>
          <w:sz w:val="21"/>
          <w:szCs w:val="21"/>
        </w:rPr>
      </w:pPr>
      <w:r>
        <w:rPr>
          <w:rFonts w:hint="eastAsia" w:ascii="宋体" w:hAnsi="宋体"/>
          <w:sz w:val="21"/>
          <w:szCs w:val="21"/>
        </w:rPr>
        <w:t>重要条款（带★条款）响应表</w:t>
      </w:r>
    </w:p>
    <w:p>
      <w:pPr>
        <w:numPr>
          <w:ilvl w:val="0"/>
          <w:numId w:val="3"/>
        </w:numPr>
        <w:spacing w:line="360" w:lineRule="auto"/>
        <w:rPr>
          <w:rFonts w:ascii="宋体" w:hAnsi="宋体"/>
          <w:sz w:val="21"/>
          <w:szCs w:val="21"/>
        </w:rPr>
      </w:pPr>
      <w:r>
        <w:rPr>
          <w:rFonts w:hint="eastAsia" w:ascii="宋体" w:hAnsi="宋体"/>
          <w:sz w:val="21"/>
          <w:szCs w:val="21"/>
        </w:rPr>
        <w:t>技术规格和商务偏离表</w:t>
      </w:r>
    </w:p>
    <w:p>
      <w:pPr>
        <w:numPr>
          <w:ilvl w:val="0"/>
          <w:numId w:val="3"/>
        </w:numPr>
        <w:spacing w:line="360" w:lineRule="auto"/>
        <w:rPr>
          <w:rFonts w:ascii="宋体" w:hAnsi="宋体"/>
          <w:sz w:val="21"/>
          <w:szCs w:val="21"/>
        </w:rPr>
      </w:pPr>
      <w:r>
        <w:rPr>
          <w:rFonts w:hint="eastAsia" w:ascii="宋体" w:hAnsi="宋体"/>
          <w:sz w:val="21"/>
          <w:szCs w:val="21"/>
        </w:rPr>
        <w:t>磋商响应供应商的资格证明文件</w:t>
      </w:r>
    </w:p>
    <w:p>
      <w:pPr>
        <w:numPr>
          <w:ilvl w:val="0"/>
          <w:numId w:val="3"/>
        </w:numPr>
        <w:spacing w:line="360" w:lineRule="auto"/>
        <w:rPr>
          <w:rFonts w:ascii="宋体" w:hAnsi="宋体"/>
          <w:sz w:val="21"/>
          <w:szCs w:val="21"/>
        </w:rPr>
      </w:pPr>
      <w:r>
        <w:rPr>
          <w:rFonts w:hint="eastAsia" w:ascii="宋体" w:hAnsi="宋体"/>
          <w:sz w:val="21"/>
          <w:szCs w:val="21"/>
        </w:rPr>
        <w:t>服务承诺书</w:t>
      </w:r>
    </w:p>
    <w:p>
      <w:pPr>
        <w:numPr>
          <w:ilvl w:val="0"/>
          <w:numId w:val="3"/>
        </w:numPr>
        <w:spacing w:line="360" w:lineRule="auto"/>
        <w:rPr>
          <w:rFonts w:ascii="宋体" w:hAnsi="宋体"/>
          <w:sz w:val="21"/>
          <w:szCs w:val="21"/>
        </w:rPr>
      </w:pPr>
      <w:r>
        <w:rPr>
          <w:rFonts w:hint="eastAsia" w:ascii="宋体" w:hAnsi="宋体"/>
          <w:sz w:val="21"/>
          <w:szCs w:val="21"/>
        </w:rPr>
        <w:t>供应商提交的其他资料</w:t>
      </w:r>
    </w:p>
    <w:p>
      <w:pPr>
        <w:numPr>
          <w:ilvl w:val="0"/>
          <w:numId w:val="3"/>
        </w:numPr>
        <w:spacing w:line="360" w:lineRule="auto"/>
        <w:rPr>
          <w:rFonts w:ascii="宋体" w:hAnsi="宋体"/>
          <w:sz w:val="21"/>
          <w:szCs w:val="21"/>
        </w:rPr>
      </w:pPr>
      <w:r>
        <w:rPr>
          <w:rFonts w:hint="eastAsia" w:ascii="宋体" w:hAnsi="宋体"/>
          <w:sz w:val="21"/>
          <w:szCs w:val="21"/>
        </w:rPr>
        <w:t>采购代理服务费承诺书</w:t>
      </w:r>
    </w:p>
    <w:p>
      <w:pPr>
        <w:numPr>
          <w:ilvl w:val="0"/>
          <w:numId w:val="3"/>
        </w:numPr>
        <w:spacing w:line="360" w:lineRule="auto"/>
        <w:rPr>
          <w:rFonts w:ascii="宋体" w:hAnsi="宋体"/>
          <w:sz w:val="21"/>
          <w:szCs w:val="21"/>
        </w:rPr>
      </w:pPr>
      <w:r>
        <w:rPr>
          <w:rFonts w:hint="eastAsia" w:ascii="宋体" w:hAnsi="宋体"/>
          <w:sz w:val="21"/>
          <w:szCs w:val="21"/>
        </w:rPr>
        <w:t>磋商响应保证金缴交的有效凭证材料及退还申请书</w:t>
      </w:r>
    </w:p>
    <w:p>
      <w:pPr>
        <w:spacing w:line="360" w:lineRule="auto"/>
        <w:rPr>
          <w:rFonts w:ascii="宋体" w:hAnsi="宋体"/>
          <w:sz w:val="21"/>
          <w:szCs w:val="21"/>
        </w:rPr>
      </w:pPr>
      <w:r>
        <w:rPr>
          <w:rFonts w:hint="eastAsia" w:ascii="宋体" w:hAnsi="宋体"/>
          <w:sz w:val="21"/>
          <w:szCs w:val="21"/>
        </w:rPr>
        <w:t>11</w:t>
      </w:r>
      <w:r>
        <w:rPr>
          <w:rFonts w:ascii="宋体" w:hAnsi="宋体"/>
          <w:sz w:val="21"/>
          <w:szCs w:val="21"/>
        </w:rPr>
        <w:t xml:space="preserve">. </w:t>
      </w:r>
      <w:r>
        <w:rPr>
          <w:rFonts w:hint="eastAsia" w:ascii="宋体" w:hAnsi="宋体"/>
          <w:sz w:val="21"/>
          <w:szCs w:val="21"/>
        </w:rPr>
        <w:t>磋商有效期</w:t>
      </w:r>
    </w:p>
    <w:p>
      <w:pPr>
        <w:spacing w:line="360" w:lineRule="auto"/>
        <w:ind w:firstLine="480"/>
        <w:rPr>
          <w:rFonts w:ascii="宋体" w:hAnsi="宋体"/>
          <w:sz w:val="21"/>
          <w:szCs w:val="21"/>
        </w:rPr>
      </w:pPr>
      <w:r>
        <w:rPr>
          <w:rFonts w:hint="eastAsia" w:ascii="宋体" w:hAnsi="宋体"/>
          <w:sz w:val="21"/>
          <w:szCs w:val="21"/>
        </w:rPr>
        <w:t>11.1磋商响应文件从磋商响应供应商须知前附表所规定的磋商响应截止期之后开始生效，在磋商响应供应商须知前附表所规定的期限内保持有效。有效期不足将导致其磋商响应文件被拒绝。</w:t>
      </w:r>
    </w:p>
    <w:p>
      <w:pPr>
        <w:spacing w:line="360" w:lineRule="auto"/>
        <w:ind w:firstLine="480"/>
        <w:rPr>
          <w:rFonts w:ascii="宋体" w:hAnsi="宋体"/>
          <w:sz w:val="21"/>
          <w:szCs w:val="21"/>
        </w:rPr>
      </w:pPr>
      <w:r>
        <w:rPr>
          <w:rFonts w:hint="eastAsia" w:ascii="宋体" w:hAnsi="宋体"/>
          <w:sz w:val="21"/>
          <w:szCs w:val="21"/>
        </w:rPr>
        <w:t>11.2特殊情况下招标代理机构可于磋商有效期满之前书面要求磋商响应供应商同意延长有效期，磋商响应供应商应在招标代理机构规定的期限内以书面形式予以答复。磋商响应供应商可以拒绝上述要求而其磋商响应保证金可按规定予以退还。磋商响应供应商答复不明确或者逾期未答复的，均视为拒绝上述要求。对于接受该要求的磋商响应供应商，既不要求也不允许其修改磋商响应文件，但将要求其相应延长磋商响应保证金有效期，有关退还和不予退还磋商响应保证金的规定在磋商有效期延长期内继续有效。</w:t>
      </w:r>
    </w:p>
    <w:p>
      <w:pPr>
        <w:spacing w:line="360" w:lineRule="auto"/>
        <w:rPr>
          <w:rFonts w:ascii="宋体" w:hAnsi="宋体"/>
          <w:sz w:val="21"/>
          <w:szCs w:val="21"/>
        </w:rPr>
      </w:pPr>
      <w:r>
        <w:rPr>
          <w:rFonts w:hint="eastAsia" w:ascii="宋体" w:hAnsi="宋体"/>
          <w:sz w:val="21"/>
          <w:szCs w:val="21"/>
        </w:rPr>
        <w:t>12. 磋商响应保证金</w:t>
      </w:r>
    </w:p>
    <w:p>
      <w:pPr>
        <w:spacing w:line="360" w:lineRule="auto"/>
        <w:ind w:firstLine="480"/>
        <w:rPr>
          <w:rFonts w:ascii="宋体" w:hAnsi="宋体"/>
          <w:sz w:val="21"/>
          <w:szCs w:val="21"/>
        </w:rPr>
      </w:pPr>
      <w:r>
        <w:rPr>
          <w:rFonts w:hint="eastAsia" w:ascii="宋体" w:hAnsi="宋体"/>
          <w:sz w:val="21"/>
          <w:szCs w:val="21"/>
        </w:rPr>
        <w:t>12.1磋商响应保证金为磋商响应文件的组成部分之一。</w:t>
      </w:r>
    </w:p>
    <w:p>
      <w:pPr>
        <w:spacing w:line="360" w:lineRule="auto"/>
        <w:ind w:firstLine="480"/>
        <w:rPr>
          <w:rFonts w:ascii="宋体" w:hAnsi="宋体"/>
          <w:sz w:val="21"/>
          <w:szCs w:val="21"/>
        </w:rPr>
      </w:pPr>
      <w:r>
        <w:rPr>
          <w:rFonts w:hint="eastAsia" w:ascii="宋体" w:hAnsi="宋体"/>
          <w:sz w:val="21"/>
          <w:szCs w:val="21"/>
        </w:rPr>
        <w:t>12.2 磋商响应供应商应在提交磋商响应文件之前向招标代理机构缴交磋商响应供应商须知前附表要求的磋商响应保证金。联合体磋商的，可以由联合体中的一方或者共同提交磋商响应保证金，以一方名义提交磋商响应保证金的，对联合体各方均具有约束力。</w:t>
      </w:r>
    </w:p>
    <w:p>
      <w:pPr>
        <w:spacing w:line="360" w:lineRule="auto"/>
        <w:ind w:firstLine="480"/>
        <w:rPr>
          <w:rFonts w:ascii="宋体" w:hAnsi="宋体"/>
          <w:sz w:val="21"/>
          <w:szCs w:val="21"/>
        </w:rPr>
      </w:pPr>
      <w:r>
        <w:rPr>
          <w:rFonts w:hint="eastAsia" w:ascii="宋体" w:hAnsi="宋体"/>
          <w:sz w:val="21"/>
          <w:szCs w:val="21"/>
        </w:rPr>
        <w:t>12.3 磋商响应保证金用于保护本次磋商活动免受磋商响应供应商的行为而引起的风险。</w:t>
      </w:r>
    </w:p>
    <w:p>
      <w:pPr>
        <w:spacing w:line="360" w:lineRule="auto"/>
        <w:ind w:firstLine="480"/>
        <w:rPr>
          <w:rFonts w:ascii="宋体" w:hAnsi="宋体"/>
          <w:sz w:val="21"/>
          <w:szCs w:val="21"/>
        </w:rPr>
      </w:pPr>
      <w:r>
        <w:rPr>
          <w:rFonts w:hint="eastAsia" w:ascii="宋体" w:hAnsi="宋体"/>
          <w:sz w:val="21"/>
          <w:szCs w:val="21"/>
        </w:rPr>
        <w:t>12.4 磋商响应保证金的提交形式见磋商响应供应商须知前附表。</w:t>
      </w:r>
    </w:p>
    <w:p>
      <w:pPr>
        <w:spacing w:line="360" w:lineRule="auto"/>
        <w:ind w:firstLine="480"/>
        <w:rPr>
          <w:rFonts w:ascii="宋体" w:hAnsi="宋体"/>
          <w:sz w:val="21"/>
          <w:szCs w:val="21"/>
        </w:rPr>
      </w:pPr>
      <w:r>
        <w:rPr>
          <w:rFonts w:hint="eastAsia" w:ascii="宋体" w:hAnsi="宋体"/>
          <w:sz w:val="21"/>
          <w:szCs w:val="21"/>
        </w:rPr>
        <w:t>12.5 未按规定缴交磋商响应保证金的磋商，将被视为无效磋商响应。</w:t>
      </w:r>
    </w:p>
    <w:p>
      <w:pPr>
        <w:spacing w:line="360" w:lineRule="auto"/>
        <w:ind w:firstLine="480"/>
        <w:rPr>
          <w:rFonts w:ascii="宋体" w:hAnsi="宋体"/>
          <w:sz w:val="21"/>
          <w:szCs w:val="21"/>
        </w:rPr>
      </w:pPr>
      <w:r>
        <w:rPr>
          <w:rFonts w:ascii="宋体" w:hAnsi="宋体"/>
          <w:sz w:val="21"/>
          <w:szCs w:val="21"/>
        </w:rPr>
        <w:t>12.6</w:t>
      </w:r>
      <w:r>
        <w:rPr>
          <w:rFonts w:hint="eastAsia" w:ascii="宋体" w:hAnsi="宋体"/>
          <w:sz w:val="21"/>
          <w:szCs w:val="21"/>
        </w:rPr>
        <w:t xml:space="preserve"> 未成交的磋商响应供应商在成交结果公告后5个工作日内，凭其开具的收款收据或我司开具的临时收条办理退还其磋商响应保证金手续，磋商响应保证金退还系原额无息退返。</w:t>
      </w:r>
    </w:p>
    <w:p>
      <w:pPr>
        <w:spacing w:line="360" w:lineRule="auto"/>
        <w:ind w:firstLine="480"/>
        <w:rPr>
          <w:rFonts w:ascii="宋体" w:hAnsi="宋体"/>
          <w:sz w:val="21"/>
          <w:szCs w:val="21"/>
        </w:rPr>
      </w:pPr>
      <w:r>
        <w:rPr>
          <w:rFonts w:ascii="宋体" w:hAnsi="宋体"/>
          <w:sz w:val="21"/>
          <w:szCs w:val="21"/>
        </w:rPr>
        <w:t>12.7</w:t>
      </w:r>
      <w:r>
        <w:rPr>
          <w:rFonts w:hint="eastAsia" w:ascii="宋体" w:hAnsi="宋体"/>
          <w:sz w:val="21"/>
          <w:szCs w:val="21"/>
        </w:rPr>
        <w:t xml:space="preserve"> </w:t>
      </w:r>
      <w:r>
        <w:rPr>
          <w:rFonts w:ascii="宋体" w:hAnsi="宋体"/>
          <w:sz w:val="21"/>
          <w:szCs w:val="21"/>
        </w:rPr>
        <w:t>在磋商成交供应商支付所有采购代理服务费并签定合同后</w:t>
      </w:r>
      <w:r>
        <w:rPr>
          <w:rFonts w:hint="eastAsia" w:ascii="宋体" w:hAnsi="宋体"/>
          <w:sz w:val="21"/>
          <w:szCs w:val="21"/>
        </w:rPr>
        <w:t>（若有交纳履约磋商响应保证金要求的，在磋商成交供应商交纳履约磋商响应保证金并签定合同后）</w:t>
      </w:r>
      <w:r>
        <w:rPr>
          <w:rFonts w:ascii="宋体" w:hAnsi="宋体"/>
          <w:sz w:val="21"/>
          <w:szCs w:val="21"/>
        </w:rPr>
        <w:t>5个工作日内，招标代理机构对磋商成交供应商</w:t>
      </w:r>
      <w:r>
        <w:rPr>
          <w:rFonts w:hint="eastAsia" w:ascii="宋体" w:hAnsi="宋体"/>
          <w:sz w:val="21"/>
          <w:szCs w:val="21"/>
        </w:rPr>
        <w:t>凭其签定的合同副本和开具的收款收据</w:t>
      </w:r>
      <w:r>
        <w:rPr>
          <w:rFonts w:ascii="宋体" w:hAnsi="宋体"/>
          <w:sz w:val="21"/>
          <w:szCs w:val="21"/>
        </w:rPr>
        <w:t>予以原额无息退还</w:t>
      </w:r>
      <w:r>
        <w:rPr>
          <w:rFonts w:hint="eastAsia" w:ascii="宋体" w:hAnsi="宋体"/>
          <w:sz w:val="21"/>
          <w:szCs w:val="21"/>
        </w:rPr>
        <w:t>其</w:t>
      </w:r>
      <w:r>
        <w:rPr>
          <w:rFonts w:ascii="宋体" w:hAnsi="宋体"/>
          <w:sz w:val="21"/>
          <w:szCs w:val="21"/>
        </w:rPr>
        <w:t>磋商响应保证金。</w:t>
      </w:r>
    </w:p>
    <w:p>
      <w:pPr>
        <w:spacing w:line="360" w:lineRule="auto"/>
        <w:ind w:firstLine="480"/>
        <w:rPr>
          <w:rFonts w:ascii="宋体" w:hAnsi="宋体"/>
          <w:sz w:val="21"/>
          <w:szCs w:val="21"/>
        </w:rPr>
      </w:pPr>
      <w:r>
        <w:rPr>
          <w:rFonts w:hint="eastAsia" w:ascii="宋体" w:hAnsi="宋体"/>
          <w:sz w:val="21"/>
          <w:szCs w:val="21"/>
        </w:rPr>
        <w:t>12.8 磋商响应保证金的有效期为有效期及其后的30个日历日。</w:t>
      </w:r>
    </w:p>
    <w:p>
      <w:pPr>
        <w:spacing w:line="360" w:lineRule="auto"/>
        <w:ind w:firstLine="480"/>
        <w:rPr>
          <w:rFonts w:ascii="宋体" w:hAnsi="宋体"/>
          <w:sz w:val="21"/>
          <w:szCs w:val="21"/>
        </w:rPr>
      </w:pPr>
      <w:r>
        <w:rPr>
          <w:rFonts w:hint="eastAsia" w:ascii="宋体" w:hAnsi="宋体"/>
          <w:sz w:val="21"/>
          <w:szCs w:val="21"/>
        </w:rPr>
        <w:t>12.9 发生以下情形之一的，磋商响应保证金将不予退还：</w:t>
      </w:r>
    </w:p>
    <w:p>
      <w:pPr>
        <w:numPr>
          <w:ilvl w:val="0"/>
          <w:numId w:val="4"/>
        </w:numPr>
        <w:spacing w:line="360" w:lineRule="auto"/>
        <w:rPr>
          <w:rFonts w:ascii="宋体" w:hAnsi="宋体"/>
          <w:sz w:val="21"/>
          <w:szCs w:val="21"/>
        </w:rPr>
      </w:pPr>
      <w:r>
        <w:rPr>
          <w:rFonts w:ascii="宋体" w:hAnsi="宋体"/>
          <w:sz w:val="21"/>
          <w:szCs w:val="21"/>
        </w:rPr>
        <w:t>磋商响应供应商在</w:t>
      </w:r>
      <w:r>
        <w:rPr>
          <w:rFonts w:hint="eastAsia" w:ascii="宋体" w:hAnsi="宋体"/>
          <w:sz w:val="21"/>
          <w:szCs w:val="21"/>
        </w:rPr>
        <w:t>磋商响应文件递交</w:t>
      </w:r>
      <w:r>
        <w:rPr>
          <w:rFonts w:ascii="宋体" w:hAnsi="宋体"/>
          <w:sz w:val="21"/>
          <w:szCs w:val="21"/>
        </w:rPr>
        <w:t>截止时间后，</w:t>
      </w:r>
      <w:r>
        <w:rPr>
          <w:rFonts w:hint="eastAsia" w:ascii="宋体" w:hAnsi="宋体"/>
          <w:sz w:val="21"/>
          <w:szCs w:val="21"/>
        </w:rPr>
        <w:t>磋商</w:t>
      </w:r>
      <w:r>
        <w:rPr>
          <w:rFonts w:ascii="宋体" w:hAnsi="宋体"/>
          <w:sz w:val="21"/>
          <w:szCs w:val="21"/>
        </w:rPr>
        <w:t>有效期内撤回</w:t>
      </w:r>
      <w:r>
        <w:rPr>
          <w:rFonts w:hint="eastAsia" w:ascii="宋体" w:hAnsi="宋体"/>
          <w:sz w:val="21"/>
          <w:szCs w:val="21"/>
        </w:rPr>
        <w:t>的</w:t>
      </w:r>
      <w:r>
        <w:rPr>
          <w:rFonts w:ascii="宋体" w:hAnsi="宋体"/>
          <w:sz w:val="21"/>
          <w:szCs w:val="21"/>
        </w:rPr>
        <w:t>；</w:t>
      </w:r>
    </w:p>
    <w:p>
      <w:pPr>
        <w:numPr>
          <w:ilvl w:val="0"/>
          <w:numId w:val="4"/>
        </w:numPr>
        <w:spacing w:line="360" w:lineRule="auto"/>
        <w:rPr>
          <w:rFonts w:ascii="宋体" w:hAnsi="宋体"/>
          <w:sz w:val="21"/>
          <w:szCs w:val="21"/>
        </w:rPr>
      </w:pPr>
      <w:r>
        <w:rPr>
          <w:rFonts w:hint="eastAsia" w:ascii="宋体" w:hAnsi="宋体"/>
          <w:sz w:val="21"/>
          <w:szCs w:val="21"/>
        </w:rPr>
        <w:t>磋商成交供应商未能按本须知第22条规定签定合同；</w:t>
      </w:r>
    </w:p>
    <w:p>
      <w:pPr>
        <w:numPr>
          <w:ilvl w:val="0"/>
          <w:numId w:val="4"/>
        </w:numPr>
        <w:spacing w:line="360" w:lineRule="auto"/>
        <w:rPr>
          <w:rFonts w:ascii="宋体" w:hAnsi="宋体"/>
          <w:sz w:val="21"/>
          <w:szCs w:val="21"/>
        </w:rPr>
      </w:pPr>
      <w:r>
        <w:rPr>
          <w:rFonts w:hint="eastAsia" w:ascii="宋体" w:hAnsi="宋体"/>
          <w:sz w:val="21"/>
          <w:szCs w:val="21"/>
        </w:rPr>
        <w:t>磋商成交供应商未按磋商响应供应商须知前附表规定缴纳采购代理服务费；</w:t>
      </w:r>
    </w:p>
    <w:p>
      <w:pPr>
        <w:numPr>
          <w:ilvl w:val="0"/>
          <w:numId w:val="4"/>
        </w:numPr>
        <w:spacing w:line="360" w:lineRule="auto"/>
        <w:rPr>
          <w:rFonts w:ascii="宋体" w:hAnsi="宋体"/>
          <w:sz w:val="21"/>
          <w:szCs w:val="21"/>
        </w:rPr>
      </w:pPr>
      <w:r>
        <w:rPr>
          <w:rFonts w:hint="eastAsia" w:ascii="宋体" w:hAnsi="宋体"/>
          <w:sz w:val="21"/>
          <w:szCs w:val="21"/>
        </w:rPr>
        <w:t>磋商成交供应商未按磋商文件要求提交履约磋商响应保证金的；</w:t>
      </w:r>
    </w:p>
    <w:p>
      <w:pPr>
        <w:numPr>
          <w:ilvl w:val="0"/>
          <w:numId w:val="4"/>
        </w:numPr>
        <w:spacing w:line="360" w:lineRule="auto"/>
        <w:rPr>
          <w:rFonts w:ascii="宋体" w:hAnsi="宋体"/>
          <w:sz w:val="21"/>
          <w:szCs w:val="21"/>
        </w:rPr>
      </w:pPr>
      <w:r>
        <w:rPr>
          <w:rFonts w:hint="eastAsia" w:ascii="宋体" w:hAnsi="宋体"/>
          <w:sz w:val="21"/>
          <w:szCs w:val="21"/>
        </w:rPr>
        <w:t>以他人名义参与磋商响应或者以其他方式弄虚作假，骗取成交；</w:t>
      </w:r>
    </w:p>
    <w:p>
      <w:pPr>
        <w:numPr>
          <w:ilvl w:val="0"/>
          <w:numId w:val="4"/>
        </w:numPr>
        <w:spacing w:line="360" w:lineRule="auto"/>
        <w:rPr>
          <w:rFonts w:ascii="宋体" w:hAnsi="宋体"/>
          <w:sz w:val="21"/>
          <w:szCs w:val="21"/>
        </w:rPr>
      </w:pPr>
      <w:r>
        <w:rPr>
          <w:rFonts w:hint="eastAsia" w:ascii="宋体" w:hAnsi="宋体"/>
          <w:sz w:val="21"/>
          <w:szCs w:val="21"/>
        </w:rPr>
        <w:t>本磋商文件中规定的其他没收磋商响应保证金的情形。</w:t>
      </w:r>
    </w:p>
    <w:p>
      <w:pPr>
        <w:spacing w:line="360" w:lineRule="auto"/>
        <w:ind w:firstLine="480"/>
        <w:rPr>
          <w:rFonts w:ascii="宋体" w:hAnsi="宋体"/>
          <w:sz w:val="21"/>
          <w:szCs w:val="21"/>
        </w:rPr>
      </w:pPr>
      <w:r>
        <w:rPr>
          <w:rFonts w:hint="eastAsia" w:ascii="宋体" w:hAnsi="宋体"/>
          <w:sz w:val="21"/>
          <w:szCs w:val="21"/>
        </w:rPr>
        <w:t>上述不予退还磋商响应保证金的情形给采购单位造成损失的，相关责任人还应当承担赔偿责任。</w:t>
      </w:r>
    </w:p>
    <w:p>
      <w:pPr>
        <w:spacing w:line="360" w:lineRule="auto"/>
        <w:rPr>
          <w:rFonts w:ascii="宋体" w:hAnsi="宋体"/>
          <w:sz w:val="21"/>
          <w:szCs w:val="21"/>
        </w:rPr>
      </w:pPr>
      <w:r>
        <w:rPr>
          <w:rFonts w:hint="eastAsia" w:ascii="宋体" w:hAnsi="宋体"/>
          <w:sz w:val="21"/>
          <w:szCs w:val="21"/>
        </w:rPr>
        <w:t>13</w:t>
      </w:r>
      <w:r>
        <w:rPr>
          <w:rFonts w:ascii="宋体" w:hAnsi="宋体"/>
          <w:sz w:val="21"/>
          <w:szCs w:val="21"/>
        </w:rPr>
        <w:t xml:space="preserve">. </w:t>
      </w:r>
      <w:r>
        <w:rPr>
          <w:rFonts w:hint="eastAsia" w:ascii="宋体" w:hAnsi="宋体"/>
          <w:sz w:val="21"/>
          <w:szCs w:val="21"/>
        </w:rPr>
        <w:t>磋商响应文件的格式</w:t>
      </w:r>
    </w:p>
    <w:p>
      <w:pPr>
        <w:spacing w:line="360" w:lineRule="auto"/>
        <w:ind w:firstLine="480"/>
        <w:rPr>
          <w:rFonts w:ascii="宋体" w:hAnsi="宋体"/>
          <w:sz w:val="21"/>
          <w:szCs w:val="21"/>
        </w:rPr>
      </w:pPr>
      <w:r>
        <w:rPr>
          <w:rFonts w:hint="eastAsia" w:ascii="宋体" w:hAnsi="宋体"/>
          <w:sz w:val="21"/>
          <w:szCs w:val="21"/>
        </w:rPr>
        <w:t>13.1 磋商响应供应商须编制由本须知第10条规定文件组成的磋商响应文件正本壹份，副本贰份，正本必须用A4等标准幅面纸张打印装订（相关证明材料可以按磋商文件要求直接使用有效的且加盖磋商响应供应商公章的原件、复印件或资料彩页等），副本可以用正本的完整复印件，并在封面标明“正本”、“副本”字样。正本与副本如有不一致，则以正本为准。</w:t>
      </w:r>
    </w:p>
    <w:p>
      <w:pPr>
        <w:spacing w:line="360" w:lineRule="auto"/>
        <w:ind w:firstLine="480"/>
        <w:rPr>
          <w:rFonts w:ascii="宋体" w:hAnsi="宋体"/>
          <w:sz w:val="21"/>
          <w:szCs w:val="21"/>
        </w:rPr>
      </w:pPr>
      <w:r>
        <w:rPr>
          <w:rFonts w:hint="eastAsia" w:ascii="宋体" w:hAnsi="宋体"/>
          <w:sz w:val="21"/>
          <w:szCs w:val="21"/>
        </w:rPr>
        <w:t>13.2 磋商响应文件的主要内容（以第五章磋商响应文件格式内容为主）应由磋商响应供应商的法定代表人或者其授权代表签署并加盖磋商响应供应商公章，如由后者签署，应提供“法定代表人授权委托书”。</w:t>
      </w:r>
    </w:p>
    <w:p>
      <w:pPr>
        <w:spacing w:line="360" w:lineRule="auto"/>
        <w:ind w:firstLine="480"/>
        <w:rPr>
          <w:rFonts w:ascii="宋体" w:hAnsi="宋体"/>
          <w:sz w:val="21"/>
          <w:szCs w:val="21"/>
        </w:rPr>
      </w:pPr>
      <w:r>
        <w:rPr>
          <w:rFonts w:hint="eastAsia" w:ascii="宋体" w:hAnsi="宋体"/>
          <w:sz w:val="21"/>
          <w:szCs w:val="21"/>
        </w:rPr>
        <w:t>13.3 除非有另外的规定或许可，报价使用货币为人民币。</w:t>
      </w:r>
    </w:p>
    <w:p>
      <w:pPr>
        <w:spacing w:line="360" w:lineRule="auto"/>
        <w:ind w:firstLine="480"/>
        <w:rPr>
          <w:rFonts w:ascii="宋体" w:hAnsi="宋体"/>
          <w:sz w:val="21"/>
          <w:szCs w:val="21"/>
        </w:rPr>
      </w:pPr>
      <w:r>
        <w:rPr>
          <w:rFonts w:hint="eastAsia" w:ascii="宋体" w:hAnsi="宋体"/>
          <w:sz w:val="21"/>
          <w:szCs w:val="21"/>
        </w:rPr>
        <w:t>13.4 磋商响应供应商应提交证明其拟供货物（或服务）符合磋商文件要求的技术响应文件，该文件可以是文字资料、图纸和数据，并须提供货物（或服务）主要技术性能的详细描述。</w:t>
      </w:r>
    </w:p>
    <w:p>
      <w:pPr>
        <w:spacing w:line="360" w:lineRule="auto"/>
        <w:ind w:firstLine="480"/>
        <w:rPr>
          <w:rFonts w:ascii="宋体" w:hAnsi="宋体"/>
          <w:sz w:val="21"/>
          <w:szCs w:val="21"/>
        </w:rPr>
      </w:pPr>
      <w:r>
        <w:rPr>
          <w:rFonts w:ascii="宋体" w:hAnsi="宋体"/>
          <w:sz w:val="21"/>
          <w:szCs w:val="21"/>
        </w:rPr>
        <w:t>1</w:t>
      </w:r>
      <w:r>
        <w:rPr>
          <w:rFonts w:hint="eastAsia" w:ascii="宋体" w:hAnsi="宋体"/>
          <w:sz w:val="21"/>
          <w:szCs w:val="21"/>
        </w:rPr>
        <w:t>3</w:t>
      </w:r>
      <w:r>
        <w:rPr>
          <w:rFonts w:ascii="宋体" w:hAnsi="宋体"/>
          <w:sz w:val="21"/>
          <w:szCs w:val="21"/>
        </w:rPr>
        <w:t xml:space="preserve">.5 </w:t>
      </w:r>
      <w:r>
        <w:rPr>
          <w:rFonts w:hint="eastAsia" w:ascii="宋体" w:hAnsi="宋体"/>
          <w:sz w:val="21"/>
          <w:szCs w:val="21"/>
        </w:rPr>
        <w:t>磋商响应文件的正本和全部副本均应使用不能擦去的墨料或墨水打印、书写或复印，并由法定代表人或其授权代表签署，盖磋商响应供应商公章。</w:t>
      </w:r>
    </w:p>
    <w:p>
      <w:pPr>
        <w:spacing w:line="360" w:lineRule="auto"/>
        <w:ind w:firstLine="480"/>
        <w:rPr>
          <w:rFonts w:ascii="宋体" w:hAnsi="宋体"/>
          <w:sz w:val="21"/>
          <w:szCs w:val="21"/>
        </w:rPr>
      </w:pPr>
      <w:r>
        <w:rPr>
          <w:rFonts w:ascii="宋体" w:hAnsi="宋体"/>
          <w:sz w:val="21"/>
          <w:szCs w:val="21"/>
        </w:rPr>
        <w:t>1</w:t>
      </w:r>
      <w:r>
        <w:rPr>
          <w:rFonts w:hint="eastAsia" w:ascii="宋体" w:hAnsi="宋体"/>
          <w:sz w:val="21"/>
          <w:szCs w:val="21"/>
        </w:rPr>
        <w:t>3</w:t>
      </w:r>
      <w:r>
        <w:rPr>
          <w:rFonts w:ascii="宋体" w:hAnsi="宋体"/>
          <w:sz w:val="21"/>
          <w:szCs w:val="21"/>
        </w:rPr>
        <w:t>.6</w:t>
      </w:r>
      <w:r>
        <w:rPr>
          <w:rFonts w:hint="eastAsia" w:ascii="宋体" w:hAnsi="宋体"/>
          <w:sz w:val="21"/>
          <w:szCs w:val="21"/>
        </w:rPr>
        <w:t xml:space="preserve"> 全套磋商响应文件应无涂改和行间插字，除非这些改动是根据招标代理机构的指示进行的，或者是为改正磋商响应供应商造成的必须修改的错误而进行的。有改动时，修改处应当由法定代表人或授权代表签字证明或加盖校正章或公章。 </w:t>
      </w:r>
    </w:p>
    <w:p>
      <w:pPr>
        <w:spacing w:line="360" w:lineRule="auto"/>
        <w:ind w:firstLine="480"/>
        <w:rPr>
          <w:rFonts w:ascii="宋体" w:hAnsi="宋体"/>
          <w:sz w:val="21"/>
          <w:szCs w:val="21"/>
        </w:rPr>
      </w:pPr>
      <w:r>
        <w:rPr>
          <w:rFonts w:hint="eastAsia" w:ascii="宋体" w:hAnsi="宋体"/>
          <w:sz w:val="21"/>
          <w:szCs w:val="21"/>
        </w:rPr>
        <w:t>13.7 未按本须知规定的格式填写磋商响应文件、磋商响应文件字迹模糊不清的，其磋商将被拒绝。</w:t>
      </w:r>
    </w:p>
    <w:p>
      <w:pPr>
        <w:spacing w:line="360" w:lineRule="auto"/>
        <w:ind w:firstLine="480"/>
        <w:rPr>
          <w:rFonts w:ascii="宋体" w:hAnsi="宋体"/>
          <w:sz w:val="21"/>
          <w:szCs w:val="21"/>
        </w:rPr>
      </w:pPr>
      <w:r>
        <w:rPr>
          <w:rFonts w:hint="eastAsia" w:ascii="宋体" w:hAnsi="宋体"/>
          <w:sz w:val="21"/>
          <w:szCs w:val="21"/>
        </w:rPr>
        <w:t>13.8 磋商响应供应商应将上述文件按顺序胶装成册、打印页码，并编列磋商响应文件目录、资料清单。由于装订不规范或编排顺序混乱而导致磋商响应文件被误读或漏读，该磋商响应供应商可能将因此承担不利的评审结果或该磋商响应可能被视为无效磋商响应。</w:t>
      </w:r>
    </w:p>
    <w:p>
      <w:pPr>
        <w:spacing w:line="360" w:lineRule="auto"/>
        <w:rPr>
          <w:rFonts w:ascii="宋体" w:hAnsi="宋体"/>
          <w:sz w:val="24"/>
        </w:rPr>
      </w:pPr>
    </w:p>
    <w:p>
      <w:pPr>
        <w:pStyle w:val="7"/>
        <w:jc w:val="center"/>
        <w:rPr>
          <w:rFonts w:ascii="宋体" w:hAnsi="宋体" w:eastAsia="宋体"/>
        </w:rPr>
      </w:pPr>
      <w:bookmarkStart w:id="34" w:name="_Toc25802"/>
      <w:bookmarkStart w:id="35" w:name="_Toc10438"/>
      <w:r>
        <w:rPr>
          <w:rFonts w:hint="eastAsia" w:ascii="宋体" w:hAnsi="宋体" w:eastAsia="宋体"/>
        </w:rPr>
        <w:t>四、磋商响应文件的提交</w:t>
      </w:r>
      <w:bookmarkEnd w:id="34"/>
      <w:bookmarkEnd w:id="35"/>
    </w:p>
    <w:p>
      <w:pPr>
        <w:spacing w:line="360" w:lineRule="auto"/>
        <w:rPr>
          <w:rFonts w:ascii="宋体" w:hAnsi="宋体"/>
          <w:sz w:val="21"/>
          <w:szCs w:val="21"/>
        </w:rPr>
      </w:pPr>
      <w:r>
        <w:rPr>
          <w:rFonts w:hint="eastAsia" w:ascii="宋体" w:hAnsi="宋体"/>
          <w:sz w:val="21"/>
          <w:szCs w:val="21"/>
        </w:rPr>
        <w:t>14. 磋商响应文件的密封、标记和递交</w:t>
      </w:r>
    </w:p>
    <w:p>
      <w:pPr>
        <w:spacing w:line="360" w:lineRule="auto"/>
        <w:ind w:firstLine="480"/>
        <w:rPr>
          <w:rFonts w:ascii="宋体" w:hAnsi="宋体"/>
          <w:sz w:val="21"/>
          <w:szCs w:val="21"/>
        </w:rPr>
      </w:pPr>
      <w:r>
        <w:rPr>
          <w:rFonts w:hint="eastAsia" w:ascii="宋体" w:hAnsi="宋体"/>
          <w:sz w:val="21"/>
          <w:szCs w:val="21"/>
        </w:rPr>
        <w:t>14.1 磋商响应供应商应将磋商响应文件正本和全部副本分别用信封密封，并标明项目编号、磋商响应供应商名称、货物名称及“正本”或“副本”字样。磋商响应文件未密封将导致其磋商被拒绝。</w:t>
      </w:r>
    </w:p>
    <w:p>
      <w:pPr>
        <w:spacing w:line="360" w:lineRule="auto"/>
        <w:ind w:firstLine="480"/>
        <w:rPr>
          <w:rFonts w:ascii="宋体" w:hAnsi="宋体"/>
          <w:sz w:val="21"/>
          <w:szCs w:val="21"/>
        </w:rPr>
      </w:pPr>
      <w:r>
        <w:rPr>
          <w:rFonts w:hint="eastAsia" w:ascii="宋体" w:hAnsi="宋体"/>
          <w:sz w:val="21"/>
          <w:szCs w:val="21"/>
        </w:rPr>
        <w:t>14.2 每一信封密封处应注明“于         之前（指磋商邀请中规定的磋商日期及时间）不准启封”的字样，并加盖磋商响应供应商公章或由磋商代表签字。</w:t>
      </w:r>
    </w:p>
    <w:p>
      <w:pPr>
        <w:spacing w:line="360" w:lineRule="auto"/>
        <w:ind w:firstLine="480"/>
        <w:rPr>
          <w:rFonts w:ascii="宋体" w:hAnsi="宋体"/>
          <w:sz w:val="21"/>
          <w:szCs w:val="21"/>
        </w:rPr>
      </w:pPr>
      <w:r>
        <w:rPr>
          <w:rFonts w:hint="eastAsia" w:ascii="宋体" w:hAnsi="宋体"/>
          <w:sz w:val="21"/>
          <w:szCs w:val="21"/>
        </w:rPr>
        <w:t>14.3 如果磋商响应文件由邮局或专人送交，磋商响应供应商应将磋商响应文件按照本须知第14.1条至第14.2条的规定进行密封和标记后，按磋商响应供应商须知前附表注明的地址送至接收人。</w:t>
      </w:r>
    </w:p>
    <w:p>
      <w:pPr>
        <w:spacing w:line="360" w:lineRule="auto"/>
        <w:ind w:firstLine="480"/>
        <w:rPr>
          <w:rFonts w:ascii="宋体" w:hAnsi="宋体"/>
          <w:sz w:val="21"/>
          <w:szCs w:val="21"/>
        </w:rPr>
      </w:pPr>
      <w:r>
        <w:rPr>
          <w:rFonts w:hint="eastAsia" w:ascii="宋体" w:hAnsi="宋体"/>
          <w:sz w:val="21"/>
          <w:szCs w:val="21"/>
        </w:rPr>
        <w:t>14.4 如果未按上述规定进行密封和标记，招标代理机构将不承担由此造成的对磋商响应文件的误投或提前拆封的责任。</w:t>
      </w:r>
    </w:p>
    <w:p>
      <w:pPr>
        <w:spacing w:line="360" w:lineRule="auto"/>
        <w:ind w:firstLine="480"/>
        <w:rPr>
          <w:rFonts w:ascii="宋体" w:hAnsi="宋体"/>
          <w:sz w:val="21"/>
          <w:szCs w:val="21"/>
        </w:rPr>
      </w:pPr>
      <w:r>
        <w:rPr>
          <w:rFonts w:hint="eastAsia" w:ascii="宋体" w:hAnsi="宋体"/>
          <w:sz w:val="21"/>
          <w:szCs w:val="21"/>
        </w:rPr>
        <w:t>14.5 磋商响应文件应在磋商邀请中规定的截止时间前送达，迟到的磋商响应文件为无效磋商响应文件，将被拒收。</w:t>
      </w:r>
    </w:p>
    <w:p>
      <w:pPr>
        <w:spacing w:line="360" w:lineRule="auto"/>
        <w:ind w:firstLine="480"/>
        <w:rPr>
          <w:rFonts w:ascii="宋体" w:hAnsi="宋体"/>
          <w:sz w:val="21"/>
          <w:szCs w:val="21"/>
        </w:rPr>
      </w:pPr>
      <w:r>
        <w:rPr>
          <w:rFonts w:hint="eastAsia" w:ascii="宋体" w:hAnsi="宋体"/>
          <w:sz w:val="21"/>
          <w:szCs w:val="21"/>
        </w:rPr>
        <w:t>14.6 磋商响应供应商在磋商截止时间前，可以对所提交的磋商响应文件进行修改或者撤回，并书面通知招标代理机构。修改的内容和撤回通知应当按本须知要求签署、盖章、密封，并作为磋商响应文件的组成部分。</w:t>
      </w:r>
    </w:p>
    <w:p>
      <w:pPr>
        <w:spacing w:line="360" w:lineRule="auto"/>
        <w:ind w:firstLine="480"/>
        <w:rPr>
          <w:rFonts w:ascii="宋体" w:hAnsi="宋体"/>
          <w:sz w:val="21"/>
          <w:szCs w:val="21"/>
        </w:rPr>
      </w:pPr>
    </w:p>
    <w:p>
      <w:pPr>
        <w:pStyle w:val="7"/>
        <w:jc w:val="center"/>
        <w:rPr>
          <w:rFonts w:ascii="宋体" w:hAnsi="宋体" w:eastAsia="宋体"/>
        </w:rPr>
      </w:pPr>
      <w:bookmarkStart w:id="36" w:name="_Toc10022"/>
      <w:bookmarkStart w:id="37" w:name="_Toc18887"/>
      <w:r>
        <w:rPr>
          <w:rFonts w:hint="eastAsia" w:ascii="宋体" w:hAnsi="宋体" w:eastAsia="宋体"/>
        </w:rPr>
        <w:t>五、磋商响应文件的评估和比较</w:t>
      </w:r>
      <w:bookmarkEnd w:id="36"/>
      <w:bookmarkEnd w:id="37"/>
    </w:p>
    <w:p>
      <w:pPr>
        <w:spacing w:line="360" w:lineRule="auto"/>
        <w:rPr>
          <w:rFonts w:ascii="宋体" w:hAnsi="宋体"/>
          <w:sz w:val="21"/>
          <w:szCs w:val="21"/>
        </w:rPr>
      </w:pPr>
      <w:r>
        <w:rPr>
          <w:rFonts w:hint="eastAsia" w:ascii="宋体" w:hAnsi="宋体"/>
          <w:sz w:val="21"/>
          <w:szCs w:val="21"/>
        </w:rPr>
        <w:t>15． 磋商时间</w:t>
      </w:r>
    </w:p>
    <w:p>
      <w:pPr>
        <w:spacing w:line="360" w:lineRule="auto"/>
        <w:ind w:firstLine="480"/>
        <w:rPr>
          <w:rFonts w:ascii="宋体" w:hAnsi="宋体"/>
          <w:sz w:val="21"/>
          <w:szCs w:val="21"/>
        </w:rPr>
      </w:pPr>
      <w:r>
        <w:rPr>
          <w:rFonts w:hint="eastAsia" w:ascii="宋体" w:hAnsi="宋体"/>
          <w:sz w:val="21"/>
          <w:szCs w:val="21"/>
        </w:rPr>
        <w:t>15.1 在磋商响应供应商须知前附表中所规定的时间、地点磋商（如有推迟情形，以推迟后的时间、地点为准）。</w:t>
      </w:r>
    </w:p>
    <w:p>
      <w:pPr>
        <w:spacing w:line="360" w:lineRule="auto"/>
        <w:ind w:firstLine="480"/>
        <w:rPr>
          <w:rFonts w:ascii="宋体" w:hAnsi="宋体"/>
          <w:sz w:val="21"/>
          <w:szCs w:val="21"/>
        </w:rPr>
      </w:pPr>
      <w:r>
        <w:rPr>
          <w:rFonts w:hint="eastAsia" w:ascii="宋体" w:hAnsi="宋体"/>
          <w:sz w:val="21"/>
          <w:szCs w:val="21"/>
        </w:rPr>
        <w:t>15.2 磋商由招标代理机构主持，邀请采购人、磋商响应供应商和有关方面代表参加。</w:t>
      </w:r>
      <w:r>
        <w:rPr>
          <w:rFonts w:ascii="宋体" w:hAnsi="宋体"/>
          <w:sz w:val="21"/>
          <w:szCs w:val="21"/>
        </w:rPr>
        <w:t>磋商响应供应商</w:t>
      </w:r>
      <w:r>
        <w:rPr>
          <w:rFonts w:hint="eastAsia" w:ascii="宋体" w:hAnsi="宋体"/>
          <w:sz w:val="21"/>
          <w:szCs w:val="21"/>
        </w:rPr>
        <w:t>一般应派</w:t>
      </w:r>
      <w:r>
        <w:rPr>
          <w:rFonts w:ascii="宋体" w:hAnsi="宋体"/>
          <w:sz w:val="21"/>
          <w:szCs w:val="21"/>
        </w:rPr>
        <w:t>授权代表</w:t>
      </w:r>
      <w:r>
        <w:rPr>
          <w:rFonts w:hint="eastAsia" w:ascii="宋体" w:hAnsi="宋体"/>
          <w:sz w:val="21"/>
          <w:szCs w:val="21"/>
        </w:rPr>
        <w:t>参加磋商</w:t>
      </w:r>
      <w:r>
        <w:rPr>
          <w:rFonts w:ascii="宋体" w:hAnsi="宋体"/>
          <w:sz w:val="21"/>
          <w:szCs w:val="21"/>
        </w:rPr>
        <w:t>，</w:t>
      </w:r>
      <w:r>
        <w:rPr>
          <w:rFonts w:hint="eastAsia" w:ascii="宋体" w:hAnsi="宋体"/>
          <w:sz w:val="21"/>
          <w:szCs w:val="21"/>
        </w:rPr>
        <w:t>并办理签到手续。</w:t>
      </w:r>
    </w:p>
    <w:p>
      <w:pPr>
        <w:spacing w:line="360" w:lineRule="auto"/>
        <w:ind w:firstLine="480"/>
        <w:rPr>
          <w:rFonts w:ascii="宋体" w:hAnsi="宋体"/>
          <w:sz w:val="21"/>
          <w:szCs w:val="21"/>
        </w:rPr>
      </w:pPr>
    </w:p>
    <w:p>
      <w:pPr>
        <w:tabs>
          <w:tab w:val="left" w:pos="3330"/>
        </w:tabs>
        <w:spacing w:line="360" w:lineRule="auto"/>
        <w:rPr>
          <w:rFonts w:ascii="宋体" w:hAnsi="宋体"/>
          <w:sz w:val="21"/>
          <w:szCs w:val="21"/>
        </w:rPr>
      </w:pPr>
      <w:r>
        <w:rPr>
          <w:rFonts w:hint="eastAsia" w:ascii="宋体" w:hAnsi="宋体"/>
          <w:sz w:val="21"/>
          <w:szCs w:val="21"/>
        </w:rPr>
        <w:t>16． 磋商小组</w:t>
      </w:r>
    </w:p>
    <w:p>
      <w:pPr>
        <w:spacing w:line="360" w:lineRule="auto"/>
        <w:ind w:firstLine="480"/>
        <w:rPr>
          <w:rFonts w:ascii="宋体" w:hAnsi="宋体"/>
          <w:sz w:val="21"/>
          <w:szCs w:val="21"/>
        </w:rPr>
      </w:pPr>
      <w:r>
        <w:rPr>
          <w:rFonts w:hint="eastAsia" w:ascii="宋体" w:hAnsi="宋体"/>
          <w:sz w:val="21"/>
          <w:szCs w:val="21"/>
        </w:rPr>
        <w:t>16.1招标代理机构根据采购货物（或服务）的特点依法组建磋商小组。磋商小组由技术、经济、法律方面的专家和采购人代表组成。成员为3人以上单数组成，专家人数不能少于2/3。在磋商文件递交时间后的适当时间里由磋商小组对磋商响应文件进行审查、质疑、评估和比较，并做出推荐磋商成交供应商的建议。</w:t>
      </w:r>
    </w:p>
    <w:p>
      <w:pPr>
        <w:spacing w:line="360" w:lineRule="auto"/>
        <w:ind w:firstLine="480"/>
        <w:rPr>
          <w:rFonts w:ascii="宋体" w:hAnsi="宋体"/>
          <w:sz w:val="21"/>
          <w:szCs w:val="21"/>
        </w:rPr>
      </w:pPr>
    </w:p>
    <w:p>
      <w:pPr>
        <w:spacing w:line="360" w:lineRule="auto"/>
        <w:rPr>
          <w:rFonts w:ascii="宋体" w:hAnsi="宋体"/>
          <w:sz w:val="21"/>
          <w:szCs w:val="21"/>
        </w:rPr>
      </w:pPr>
      <w:r>
        <w:rPr>
          <w:rFonts w:hint="eastAsia" w:ascii="宋体" w:hAnsi="宋体"/>
          <w:sz w:val="21"/>
          <w:szCs w:val="21"/>
        </w:rPr>
        <w:t>17</w:t>
      </w:r>
      <w:r>
        <w:rPr>
          <w:rFonts w:ascii="宋体" w:hAnsi="宋体"/>
          <w:sz w:val="21"/>
          <w:szCs w:val="21"/>
        </w:rPr>
        <w:t xml:space="preserve">. </w:t>
      </w:r>
      <w:r>
        <w:rPr>
          <w:rFonts w:hint="eastAsia" w:ascii="宋体" w:hAnsi="宋体"/>
          <w:sz w:val="21"/>
          <w:szCs w:val="21"/>
        </w:rPr>
        <w:t>磋商响应文件的初审</w:t>
      </w:r>
    </w:p>
    <w:p>
      <w:pPr>
        <w:spacing w:line="360" w:lineRule="auto"/>
        <w:ind w:firstLine="420" w:firstLineChars="200"/>
        <w:rPr>
          <w:rFonts w:ascii="宋体" w:hAnsi="宋体"/>
          <w:sz w:val="21"/>
          <w:szCs w:val="21"/>
        </w:rPr>
      </w:pPr>
      <w:r>
        <w:rPr>
          <w:rFonts w:hint="eastAsia" w:ascii="宋体" w:hAnsi="宋体"/>
          <w:sz w:val="21"/>
          <w:szCs w:val="21"/>
        </w:rPr>
        <w:t>对所有磋商响应供应商的评估，都采用相同的程序和标准。评议过程将严格按照磋商文件的要求和条件进行。</w:t>
      </w:r>
    </w:p>
    <w:p>
      <w:pPr>
        <w:spacing w:before="120" w:line="360" w:lineRule="auto"/>
        <w:ind w:firstLine="420" w:firstLineChars="200"/>
        <w:rPr>
          <w:rFonts w:ascii="宋体" w:hAnsi="宋体"/>
          <w:sz w:val="21"/>
          <w:szCs w:val="21"/>
        </w:rPr>
      </w:pPr>
      <w:r>
        <w:rPr>
          <w:rFonts w:hint="eastAsia" w:ascii="宋体" w:hAnsi="宋体"/>
          <w:sz w:val="21"/>
          <w:szCs w:val="21"/>
        </w:rPr>
        <w:t>17.1 磋商小组将对磋商响应文件进行审查，以确定磋商响应文件是否完整、有无计算上的错误、是否提交了磋商响应保证金、文件是否已正确签署。</w:t>
      </w:r>
      <w:r>
        <w:rPr>
          <w:rFonts w:ascii="宋体" w:hAnsi="宋体"/>
          <w:sz w:val="21"/>
          <w:szCs w:val="21"/>
        </w:rPr>
        <w:t xml:space="preserve"> </w:t>
      </w:r>
    </w:p>
    <w:p>
      <w:pPr>
        <w:spacing w:line="360" w:lineRule="auto"/>
        <w:ind w:firstLine="420" w:firstLineChars="200"/>
        <w:rPr>
          <w:rFonts w:ascii="宋体" w:hAnsi="宋体"/>
          <w:sz w:val="21"/>
          <w:szCs w:val="21"/>
        </w:rPr>
      </w:pPr>
      <w:r>
        <w:rPr>
          <w:rFonts w:hint="eastAsia" w:ascii="宋体" w:hAnsi="宋体"/>
          <w:sz w:val="21"/>
          <w:szCs w:val="21"/>
        </w:rPr>
        <w:t>17.2 算术错误将按以下方法更正：</w:t>
      </w:r>
    </w:p>
    <w:p>
      <w:pPr>
        <w:spacing w:line="360" w:lineRule="auto"/>
        <w:ind w:firstLine="420" w:firstLineChars="200"/>
        <w:rPr>
          <w:rFonts w:ascii="宋体" w:hAnsi="宋体"/>
          <w:sz w:val="21"/>
          <w:szCs w:val="21"/>
        </w:rPr>
      </w:pPr>
      <w:r>
        <w:rPr>
          <w:rFonts w:hint="eastAsia" w:ascii="宋体" w:hAnsi="宋体"/>
          <w:sz w:val="21"/>
          <w:szCs w:val="21"/>
        </w:rPr>
        <w:t>（1）磋商响应文件中报价一览表内容与磋商响应文件中明细表内容不一致的，以报价一览表为准。</w:t>
      </w:r>
    </w:p>
    <w:p>
      <w:pPr>
        <w:spacing w:line="360" w:lineRule="auto"/>
        <w:ind w:firstLine="420" w:firstLineChars="200"/>
        <w:rPr>
          <w:rFonts w:ascii="宋体" w:hAnsi="宋体"/>
          <w:sz w:val="21"/>
          <w:szCs w:val="21"/>
        </w:rPr>
      </w:pPr>
      <w:r>
        <w:rPr>
          <w:rFonts w:hint="eastAsia" w:ascii="宋体" w:hAnsi="宋体"/>
          <w:sz w:val="21"/>
          <w:szCs w:val="21"/>
        </w:rPr>
        <w:t>（2）磋商响应文件的大写金额和小写金额不一致的，以大写金额为准；总价金额与按单价汇总金额不一致的，以单价金额计算结果为准；单价金额小数点有明显错位的，应以总价为准，并修改单价；对不同文字文本磋商响应文件的解释发生异议的，以中文文本为准。</w:t>
      </w:r>
    </w:p>
    <w:p>
      <w:pPr>
        <w:widowControl/>
        <w:spacing w:line="360" w:lineRule="auto"/>
        <w:ind w:firstLine="420" w:firstLineChars="200"/>
        <w:rPr>
          <w:rFonts w:ascii="宋体" w:hAnsi="宋体"/>
          <w:sz w:val="21"/>
          <w:szCs w:val="21"/>
        </w:rPr>
      </w:pPr>
      <w:r>
        <w:rPr>
          <w:rFonts w:hint="eastAsia" w:ascii="宋体" w:hAnsi="宋体"/>
          <w:sz w:val="21"/>
          <w:szCs w:val="21"/>
        </w:rPr>
        <w:t>（3）对于漏报的货物细目单价和总价或单价和总价中减少的报价内容视为已含入其他货物细目的单价和总价之中。</w:t>
      </w:r>
    </w:p>
    <w:p>
      <w:pPr>
        <w:spacing w:line="360" w:lineRule="auto"/>
        <w:ind w:firstLine="382" w:firstLineChars="182"/>
        <w:rPr>
          <w:rFonts w:ascii="宋体" w:hAnsi="宋体"/>
          <w:sz w:val="21"/>
          <w:szCs w:val="21"/>
        </w:rPr>
      </w:pPr>
      <w:r>
        <w:rPr>
          <w:rFonts w:hint="eastAsia" w:ascii="宋体" w:hAnsi="宋体"/>
          <w:sz w:val="21"/>
          <w:szCs w:val="21"/>
        </w:rPr>
        <w:t>（4）对于多报的货物细目的报价或报价中增加的部分报价在结算时从报价中给予扣除。</w:t>
      </w:r>
    </w:p>
    <w:p>
      <w:pPr>
        <w:spacing w:line="360" w:lineRule="auto"/>
        <w:ind w:firstLine="420" w:firstLineChars="200"/>
        <w:rPr>
          <w:rFonts w:ascii="宋体" w:hAnsi="宋体"/>
          <w:sz w:val="21"/>
          <w:szCs w:val="21"/>
        </w:rPr>
      </w:pPr>
      <w:r>
        <w:rPr>
          <w:rFonts w:hint="eastAsia" w:ascii="宋体" w:hAnsi="宋体"/>
          <w:sz w:val="21"/>
          <w:szCs w:val="21"/>
        </w:rPr>
        <w:t>如果磋商响应供应商不接受按上述方法对磋商响应文件中的算术错误进行更正，其磋商将被拒绝并没收其磋商响应保证金。</w:t>
      </w:r>
    </w:p>
    <w:p>
      <w:pPr>
        <w:spacing w:line="360" w:lineRule="auto"/>
        <w:ind w:firstLine="420" w:firstLineChars="200"/>
        <w:rPr>
          <w:rFonts w:ascii="宋体" w:hAnsi="宋体"/>
          <w:sz w:val="21"/>
          <w:szCs w:val="21"/>
        </w:rPr>
      </w:pPr>
      <w:r>
        <w:rPr>
          <w:rFonts w:hint="eastAsia" w:ascii="宋体" w:hAnsi="宋体"/>
          <w:sz w:val="21"/>
          <w:szCs w:val="21"/>
        </w:rPr>
        <w:t xml:space="preserve">17.3 资格性检查和符合性检查 </w:t>
      </w:r>
    </w:p>
    <w:p>
      <w:pPr>
        <w:spacing w:line="360" w:lineRule="auto"/>
        <w:ind w:firstLine="420" w:firstLineChars="200"/>
        <w:rPr>
          <w:rFonts w:ascii="宋体" w:hAnsi="宋体"/>
          <w:sz w:val="21"/>
          <w:szCs w:val="21"/>
        </w:rPr>
      </w:pPr>
      <w:r>
        <w:rPr>
          <w:rFonts w:hint="eastAsia" w:ascii="宋体" w:hAnsi="宋体"/>
          <w:sz w:val="21"/>
          <w:szCs w:val="21"/>
        </w:rPr>
        <w:t>17.3.</w:t>
      </w:r>
      <w:r>
        <w:rPr>
          <w:rFonts w:ascii="宋体" w:hAnsi="宋体"/>
          <w:sz w:val="21"/>
          <w:szCs w:val="21"/>
        </w:rPr>
        <w:t>1</w:t>
      </w:r>
      <w:r>
        <w:rPr>
          <w:rFonts w:hint="eastAsia" w:ascii="宋体" w:hAnsi="宋体"/>
          <w:sz w:val="21"/>
          <w:szCs w:val="21"/>
        </w:rPr>
        <w:t xml:space="preserve"> 资格性检查。依据法律法规和磋商文件的规定，在对磋商响应文件详细评估之前，磋商小组将依据磋商响应供应商提交的磋商响应文件按磋商响应供应商须知前附表所述的资格标准对磋商响应供应商进行资格审查，以确定其是否具备磋商资格。如果磋商响应供应商不具备磋商资格，不满足磋商文件所规定的资格标准或提供资格证明文件不全的，或是在磋商响应过程中磋商响应供应商对象发生变更（包括响应主体变更或响应联合体变更）的，其报价将被视为无效报价，其磋商响应为无效磋商响应。</w:t>
      </w:r>
    </w:p>
    <w:p>
      <w:pPr>
        <w:spacing w:line="360" w:lineRule="auto"/>
        <w:ind w:firstLine="420" w:firstLineChars="200"/>
        <w:rPr>
          <w:rFonts w:ascii="宋体" w:hAnsi="宋体"/>
          <w:sz w:val="21"/>
          <w:szCs w:val="21"/>
        </w:rPr>
      </w:pPr>
      <w:r>
        <w:rPr>
          <w:rFonts w:hint="eastAsia" w:ascii="宋体" w:hAnsi="宋体"/>
          <w:sz w:val="21"/>
          <w:szCs w:val="21"/>
        </w:rPr>
        <w:t>17.3.2 符合性检查。依据磋商文件的规定，磋商小组还将从磋商响应文件（含经磋商后提供的有效的相关书面承诺材料）的有效性、完整性和对磋商文件的响应程度进行审查，以确定其是否符合对磋商文件的实质性要求作出响应。实质性偏离是指：（</w:t>
      </w:r>
      <w:r>
        <w:rPr>
          <w:rFonts w:ascii="宋体" w:hAnsi="宋体"/>
          <w:sz w:val="21"/>
          <w:szCs w:val="21"/>
        </w:rPr>
        <w:t>1</w:t>
      </w:r>
      <w:r>
        <w:rPr>
          <w:rFonts w:hint="eastAsia" w:ascii="宋体" w:hAnsi="宋体"/>
          <w:sz w:val="21"/>
          <w:szCs w:val="21"/>
        </w:rPr>
        <w:t>）实质性影响合同的范围、质量和履行；（</w:t>
      </w:r>
      <w:r>
        <w:rPr>
          <w:rFonts w:ascii="宋体" w:hAnsi="宋体"/>
          <w:sz w:val="21"/>
          <w:szCs w:val="21"/>
        </w:rPr>
        <w:t>2</w:t>
      </w:r>
      <w:r>
        <w:rPr>
          <w:rFonts w:hint="eastAsia" w:ascii="宋体" w:hAnsi="宋体"/>
          <w:sz w:val="21"/>
          <w:szCs w:val="21"/>
        </w:rPr>
        <w:t>）实质性违背磋商文件，限制了采购人的权利和磋商成交供应商合同项下的义务；（</w:t>
      </w:r>
      <w:r>
        <w:rPr>
          <w:rFonts w:ascii="宋体" w:hAnsi="宋体"/>
          <w:sz w:val="21"/>
          <w:szCs w:val="21"/>
        </w:rPr>
        <w:t>3</w:t>
      </w:r>
      <w:r>
        <w:rPr>
          <w:rFonts w:hint="eastAsia" w:ascii="宋体" w:hAnsi="宋体"/>
          <w:sz w:val="21"/>
          <w:szCs w:val="21"/>
        </w:rPr>
        <w:t>）不公正地影响了其它作出实质性响应的磋商响应供应商的竞争地位。对存在上述实质性偏离情况且不能满足采购人原本采购要求的磋商响应文件（含经磋商后提供的有效的相关书面承诺材料）或是没有实质性响应的磋商响应文件（含经磋商后提供的有效的相关书面承诺材料）将不进行评估，其磋商响应将视为无效磋商响应。凡有下列情况之一者，磋商响应文件（含经磋商后提供的有效的相关书面承诺材料）也将被视为未实质性响应磋商文件要求：</w:t>
      </w:r>
    </w:p>
    <w:p>
      <w:pPr>
        <w:numPr>
          <w:ilvl w:val="0"/>
          <w:numId w:val="5"/>
        </w:numPr>
        <w:spacing w:line="360" w:lineRule="auto"/>
        <w:rPr>
          <w:rFonts w:ascii="宋体" w:hAnsi="宋体"/>
          <w:sz w:val="21"/>
          <w:szCs w:val="21"/>
        </w:rPr>
      </w:pPr>
      <w:r>
        <w:rPr>
          <w:rFonts w:hint="eastAsia" w:ascii="宋体" w:hAnsi="宋体"/>
          <w:sz w:val="21"/>
          <w:szCs w:val="21"/>
        </w:rPr>
        <w:t>磋商响应文件（含经磋商后提供的有效的相关书面承诺材料）未按照本须知的规定进行密封、标记的；</w:t>
      </w:r>
    </w:p>
    <w:p>
      <w:pPr>
        <w:numPr>
          <w:ilvl w:val="0"/>
          <w:numId w:val="5"/>
        </w:numPr>
        <w:spacing w:line="360" w:lineRule="auto"/>
        <w:rPr>
          <w:rFonts w:ascii="宋体" w:hAnsi="宋体"/>
          <w:sz w:val="21"/>
          <w:szCs w:val="21"/>
        </w:rPr>
      </w:pPr>
      <w:r>
        <w:rPr>
          <w:rFonts w:hint="eastAsia" w:ascii="宋体" w:hAnsi="宋体"/>
          <w:sz w:val="21"/>
          <w:szCs w:val="21"/>
        </w:rPr>
        <w:t>磋商响应文件（含经磋商后提供的有效的相关书面承诺材料）主要内容（如磋商响应文件、报价一览表等）未加盖磋商响应供应商公章；</w:t>
      </w:r>
    </w:p>
    <w:p>
      <w:pPr>
        <w:numPr>
          <w:ilvl w:val="0"/>
          <w:numId w:val="5"/>
        </w:numPr>
        <w:spacing w:line="360" w:lineRule="auto"/>
        <w:rPr>
          <w:rFonts w:ascii="宋体" w:hAnsi="宋体"/>
          <w:sz w:val="21"/>
          <w:szCs w:val="21"/>
        </w:rPr>
      </w:pPr>
      <w:r>
        <w:rPr>
          <w:rFonts w:hint="eastAsia" w:ascii="宋体" w:hAnsi="宋体"/>
          <w:sz w:val="21"/>
          <w:szCs w:val="21"/>
        </w:rPr>
        <w:t>磋商响应供应商未按规定提交磋商响应保证金的；</w:t>
      </w:r>
    </w:p>
    <w:p>
      <w:pPr>
        <w:numPr>
          <w:ilvl w:val="0"/>
          <w:numId w:val="5"/>
        </w:numPr>
        <w:spacing w:line="360" w:lineRule="auto"/>
        <w:rPr>
          <w:rFonts w:ascii="宋体" w:hAnsi="宋体"/>
          <w:sz w:val="21"/>
          <w:szCs w:val="21"/>
        </w:rPr>
      </w:pPr>
      <w:r>
        <w:rPr>
          <w:rFonts w:hint="eastAsia" w:ascii="宋体" w:hAnsi="宋体"/>
          <w:sz w:val="21"/>
          <w:szCs w:val="21"/>
        </w:rPr>
        <w:t>磋商响应供应商的磋商有效期不满足磋商文件要求的；</w:t>
      </w:r>
    </w:p>
    <w:p>
      <w:pPr>
        <w:numPr>
          <w:ilvl w:val="0"/>
          <w:numId w:val="5"/>
        </w:numPr>
        <w:spacing w:line="360" w:lineRule="auto"/>
        <w:rPr>
          <w:rFonts w:ascii="宋体" w:hAnsi="宋体"/>
          <w:sz w:val="21"/>
          <w:szCs w:val="21"/>
        </w:rPr>
      </w:pPr>
      <w:r>
        <w:rPr>
          <w:rFonts w:hint="eastAsia" w:ascii="宋体" w:hAnsi="宋体"/>
          <w:sz w:val="21"/>
          <w:szCs w:val="21"/>
        </w:rPr>
        <w:t>磋商内容与项目内容及要求有重大偏离或保留的；</w:t>
      </w:r>
    </w:p>
    <w:p>
      <w:pPr>
        <w:numPr>
          <w:ilvl w:val="0"/>
          <w:numId w:val="5"/>
        </w:numPr>
        <w:spacing w:line="360" w:lineRule="auto"/>
        <w:rPr>
          <w:rFonts w:ascii="宋体" w:hAnsi="宋体"/>
          <w:sz w:val="21"/>
          <w:szCs w:val="21"/>
        </w:rPr>
      </w:pPr>
      <w:r>
        <w:rPr>
          <w:rFonts w:hint="eastAsia" w:ascii="宋体" w:hAnsi="宋体"/>
          <w:sz w:val="21"/>
          <w:szCs w:val="21"/>
        </w:rPr>
        <w:t>磋商响应供应商提交的是可选择的报价；</w:t>
      </w:r>
    </w:p>
    <w:p>
      <w:pPr>
        <w:numPr>
          <w:ilvl w:val="0"/>
          <w:numId w:val="5"/>
        </w:numPr>
        <w:spacing w:line="360" w:lineRule="auto"/>
        <w:rPr>
          <w:rFonts w:ascii="宋体" w:hAnsi="宋体"/>
          <w:sz w:val="21"/>
          <w:szCs w:val="21"/>
        </w:rPr>
      </w:pPr>
      <w:r>
        <w:rPr>
          <w:rFonts w:hint="eastAsia" w:ascii="宋体" w:hAnsi="宋体"/>
          <w:sz w:val="21"/>
          <w:szCs w:val="21"/>
        </w:rPr>
        <w:t>磋商响应供应商未按规定进行分项报价；</w:t>
      </w:r>
    </w:p>
    <w:p>
      <w:pPr>
        <w:numPr>
          <w:ilvl w:val="0"/>
          <w:numId w:val="5"/>
        </w:numPr>
        <w:tabs>
          <w:tab w:val="left" w:pos="420"/>
        </w:tabs>
        <w:spacing w:line="360" w:lineRule="auto"/>
        <w:ind w:left="420" w:firstLine="0"/>
        <w:rPr>
          <w:rFonts w:ascii="宋体" w:hAnsi="宋体"/>
          <w:sz w:val="21"/>
          <w:szCs w:val="21"/>
        </w:rPr>
      </w:pPr>
      <w:r>
        <w:rPr>
          <w:rFonts w:hint="eastAsia" w:ascii="宋体" w:hAnsi="宋体"/>
          <w:sz w:val="21"/>
          <w:szCs w:val="21"/>
        </w:rPr>
        <w:t>磋商响应供应商提交的最终报价超过采购预算或控制价；</w:t>
      </w:r>
    </w:p>
    <w:p>
      <w:pPr>
        <w:numPr>
          <w:ilvl w:val="0"/>
          <w:numId w:val="5"/>
        </w:numPr>
        <w:tabs>
          <w:tab w:val="left" w:pos="420"/>
        </w:tabs>
        <w:spacing w:line="360" w:lineRule="auto"/>
        <w:rPr>
          <w:rFonts w:ascii="宋体" w:hAnsi="宋体"/>
          <w:sz w:val="21"/>
          <w:szCs w:val="21"/>
        </w:rPr>
      </w:pPr>
      <w:r>
        <w:rPr>
          <w:rFonts w:hint="eastAsia" w:ascii="宋体" w:hAnsi="宋体"/>
          <w:sz w:val="21"/>
          <w:szCs w:val="21"/>
        </w:rPr>
        <w:t>磋商响应供应商报价明显低于成本价的且不能合理说明或不在规定时间内作说明的；</w:t>
      </w:r>
    </w:p>
    <w:p>
      <w:pPr>
        <w:numPr>
          <w:ilvl w:val="0"/>
          <w:numId w:val="5"/>
        </w:numPr>
        <w:spacing w:line="360" w:lineRule="auto"/>
        <w:rPr>
          <w:rFonts w:ascii="宋体" w:hAnsi="宋体"/>
          <w:sz w:val="21"/>
          <w:szCs w:val="21"/>
        </w:rPr>
      </w:pPr>
      <w:r>
        <w:rPr>
          <w:rFonts w:hint="eastAsia" w:ascii="宋体" w:hAnsi="宋体"/>
          <w:sz w:val="21"/>
          <w:szCs w:val="21"/>
        </w:rPr>
        <w:t>磋商响应文件（含经磋商后提供的有效的相关书面承诺材料）中提供虚假或失实资料的；</w:t>
      </w:r>
    </w:p>
    <w:p>
      <w:pPr>
        <w:numPr>
          <w:ilvl w:val="0"/>
          <w:numId w:val="5"/>
        </w:numPr>
        <w:spacing w:line="360" w:lineRule="auto"/>
        <w:rPr>
          <w:rFonts w:ascii="宋体" w:hAnsi="宋体"/>
          <w:sz w:val="21"/>
          <w:szCs w:val="21"/>
        </w:rPr>
      </w:pPr>
      <w:r>
        <w:rPr>
          <w:rFonts w:hint="eastAsia" w:ascii="宋体" w:hAnsi="宋体"/>
          <w:sz w:val="21"/>
          <w:szCs w:val="21"/>
        </w:rPr>
        <w:t>磋商响应文件（含经磋商后提供的有效的相关书面承诺材料）不符合磋商文件中规定的其它实质性条款（如不满足保修期、供货期要求等）；</w:t>
      </w:r>
    </w:p>
    <w:p>
      <w:pPr>
        <w:numPr>
          <w:ilvl w:val="0"/>
          <w:numId w:val="5"/>
        </w:numPr>
        <w:spacing w:line="360" w:lineRule="auto"/>
        <w:rPr>
          <w:rFonts w:ascii="宋体" w:hAnsi="宋体"/>
          <w:sz w:val="21"/>
          <w:szCs w:val="21"/>
        </w:rPr>
      </w:pPr>
      <w:r>
        <w:rPr>
          <w:rFonts w:hint="eastAsia" w:ascii="宋体" w:hAnsi="宋体"/>
          <w:sz w:val="21"/>
          <w:szCs w:val="21"/>
        </w:rPr>
        <w:t>磋商响应文件（含经磋商后提供的有效的相关书面承诺材料）不满足磋商文件中带★条款要求的；</w:t>
      </w:r>
    </w:p>
    <w:p>
      <w:pPr>
        <w:numPr>
          <w:ilvl w:val="0"/>
          <w:numId w:val="5"/>
        </w:numPr>
        <w:spacing w:line="360" w:lineRule="auto"/>
        <w:rPr>
          <w:rFonts w:ascii="宋体" w:hAnsi="宋体"/>
          <w:sz w:val="21"/>
          <w:szCs w:val="21"/>
        </w:rPr>
      </w:pPr>
      <w:r>
        <w:rPr>
          <w:rFonts w:hint="eastAsia" w:ascii="宋体" w:hAnsi="宋体"/>
          <w:sz w:val="21"/>
          <w:szCs w:val="21"/>
        </w:rPr>
        <w:t>磋商响应供应商的技术、商务磋商响应方面明显复制磋商文件要求的；</w:t>
      </w:r>
    </w:p>
    <w:p>
      <w:pPr>
        <w:numPr>
          <w:ilvl w:val="0"/>
          <w:numId w:val="5"/>
        </w:numPr>
        <w:spacing w:line="360" w:lineRule="auto"/>
        <w:rPr>
          <w:rFonts w:ascii="宋体" w:hAnsi="宋体"/>
          <w:sz w:val="21"/>
          <w:szCs w:val="21"/>
        </w:rPr>
      </w:pPr>
      <w:r>
        <w:rPr>
          <w:rFonts w:hint="eastAsia" w:ascii="宋体" w:hAnsi="宋体"/>
          <w:sz w:val="21"/>
          <w:szCs w:val="21"/>
        </w:rPr>
        <w:t>采购人根据具体项目的情况对的实质性要求作特别的规定。</w:t>
      </w:r>
    </w:p>
    <w:p>
      <w:pPr>
        <w:spacing w:line="360" w:lineRule="auto"/>
        <w:ind w:firstLine="420" w:firstLineChars="200"/>
        <w:rPr>
          <w:rFonts w:ascii="宋体" w:hAnsi="宋体"/>
          <w:sz w:val="21"/>
          <w:szCs w:val="21"/>
        </w:rPr>
      </w:pPr>
      <w:r>
        <w:rPr>
          <w:rFonts w:hint="eastAsia" w:ascii="宋体" w:hAnsi="宋体"/>
          <w:sz w:val="21"/>
          <w:szCs w:val="21"/>
        </w:rPr>
        <w:t>磋商小组决定磋商的响应性只根据磋商响应文件（含经磋商后提供的有效的相关书面承诺材料）本身的内容，而不寻求其他的外部证据。</w:t>
      </w:r>
    </w:p>
    <w:p>
      <w:pPr>
        <w:spacing w:line="360" w:lineRule="auto"/>
        <w:ind w:firstLine="420" w:firstLineChars="200"/>
        <w:rPr>
          <w:rFonts w:ascii="宋体" w:hAnsi="宋体"/>
          <w:sz w:val="21"/>
          <w:szCs w:val="21"/>
        </w:rPr>
      </w:pPr>
    </w:p>
    <w:p>
      <w:pPr>
        <w:spacing w:line="360" w:lineRule="auto"/>
        <w:rPr>
          <w:rFonts w:ascii="宋体" w:hAnsi="宋体"/>
          <w:sz w:val="21"/>
          <w:szCs w:val="21"/>
        </w:rPr>
      </w:pPr>
      <w:r>
        <w:rPr>
          <w:rFonts w:hint="eastAsia" w:ascii="宋体" w:hAnsi="宋体"/>
          <w:sz w:val="21"/>
          <w:szCs w:val="21"/>
        </w:rPr>
        <w:t xml:space="preserve">18. 磋商响应文件的澄清 </w:t>
      </w:r>
    </w:p>
    <w:p>
      <w:pPr>
        <w:spacing w:line="360" w:lineRule="auto"/>
        <w:ind w:firstLine="420" w:firstLineChars="200"/>
        <w:rPr>
          <w:rFonts w:ascii="宋体" w:hAnsi="宋体"/>
          <w:sz w:val="21"/>
          <w:szCs w:val="21"/>
        </w:rPr>
      </w:pPr>
      <w:r>
        <w:rPr>
          <w:rFonts w:hint="eastAsia" w:ascii="宋体" w:hAnsi="宋体"/>
          <w:sz w:val="21"/>
          <w:szCs w:val="21"/>
        </w:rPr>
        <w:t>18.1 对磋商响应文件中含义不明确、同类问题表述不一致或者有明显文字和计算错误的内容，磋商小组可以书面形式要求磋商响应供应商作出必要的澄清、说明或者纠正。磋商响应供应商的澄清、说明或者补正应当在磋商小组规定的时间内以书面形式作出，由其法定代表人或者授权代表签字，并不得超出磋商响应文件的范围或者改变磋商响应文件的实质性内容。</w:t>
      </w:r>
    </w:p>
    <w:p>
      <w:pPr>
        <w:spacing w:line="360" w:lineRule="auto"/>
        <w:ind w:firstLine="420" w:firstLineChars="200"/>
        <w:rPr>
          <w:rFonts w:ascii="宋体" w:hAnsi="宋体"/>
          <w:sz w:val="21"/>
          <w:szCs w:val="21"/>
        </w:rPr>
      </w:pPr>
    </w:p>
    <w:p>
      <w:pPr>
        <w:spacing w:line="360" w:lineRule="auto"/>
        <w:rPr>
          <w:rFonts w:ascii="宋体" w:hAnsi="宋体"/>
          <w:sz w:val="21"/>
          <w:szCs w:val="21"/>
        </w:rPr>
      </w:pPr>
      <w:r>
        <w:rPr>
          <w:rFonts w:hint="eastAsia" w:ascii="宋体" w:hAnsi="宋体"/>
          <w:sz w:val="21"/>
          <w:szCs w:val="21"/>
        </w:rPr>
        <w:t>19. 比较与评价</w:t>
      </w:r>
    </w:p>
    <w:p>
      <w:pPr>
        <w:spacing w:line="360" w:lineRule="auto"/>
        <w:ind w:firstLine="420" w:firstLineChars="200"/>
        <w:rPr>
          <w:rFonts w:ascii="宋体" w:hAnsi="宋体"/>
          <w:sz w:val="21"/>
          <w:szCs w:val="21"/>
        </w:rPr>
      </w:pPr>
      <w:r>
        <w:rPr>
          <w:rFonts w:hint="eastAsia" w:ascii="宋体" w:hAnsi="宋体"/>
          <w:sz w:val="21"/>
          <w:szCs w:val="21"/>
        </w:rPr>
        <w:t>19.1 磋商小组将按磋商响应供应商须知前附表所述评审方法与标准，对资格性检查和符合性检查合格的磋商响应文件进行商务和技术评估，综合比较与评价。</w:t>
      </w:r>
    </w:p>
    <w:p>
      <w:pPr>
        <w:spacing w:line="360" w:lineRule="auto"/>
        <w:ind w:firstLine="420" w:firstLineChars="200"/>
        <w:rPr>
          <w:rFonts w:ascii="宋体" w:hAnsi="宋体"/>
          <w:sz w:val="21"/>
          <w:szCs w:val="21"/>
        </w:rPr>
      </w:pPr>
      <w:r>
        <w:rPr>
          <w:rFonts w:hint="eastAsia" w:ascii="宋体" w:hAnsi="宋体"/>
          <w:sz w:val="21"/>
          <w:szCs w:val="21"/>
        </w:rPr>
        <w:t>19.2 若磋商响应供应商的报价明显低于其他报价，使得其磋商报价可能低于其个别成本的，有可能影响商品质量或不能诚信履约的，磋商响应供应商应按磋商小组要求作出书面说明并提供相关有效证明材料，不能合理说明或不能提供相关有效证明材料的，可作无效磋商响应处理。</w:t>
      </w:r>
    </w:p>
    <w:p>
      <w:pPr>
        <w:spacing w:line="360" w:lineRule="auto"/>
        <w:ind w:firstLine="480" w:firstLineChars="200"/>
        <w:rPr>
          <w:rFonts w:ascii="宋体" w:hAnsi="宋体"/>
          <w:sz w:val="24"/>
        </w:rPr>
      </w:pPr>
    </w:p>
    <w:p>
      <w:pPr>
        <w:pStyle w:val="7"/>
        <w:jc w:val="center"/>
        <w:rPr>
          <w:rFonts w:ascii="宋体" w:hAnsi="宋体" w:eastAsia="宋体"/>
        </w:rPr>
      </w:pPr>
      <w:bookmarkStart w:id="38" w:name="_Toc2048"/>
      <w:bookmarkStart w:id="39" w:name="_Toc14138"/>
      <w:r>
        <w:rPr>
          <w:rFonts w:hint="eastAsia" w:ascii="宋体" w:hAnsi="宋体" w:eastAsia="宋体"/>
        </w:rPr>
        <w:t>六、成交与签定合同</w:t>
      </w:r>
      <w:bookmarkEnd w:id="38"/>
      <w:bookmarkEnd w:id="39"/>
    </w:p>
    <w:p>
      <w:pPr>
        <w:spacing w:line="360" w:lineRule="auto"/>
        <w:rPr>
          <w:rFonts w:ascii="宋体" w:hAnsi="宋体"/>
          <w:sz w:val="21"/>
          <w:szCs w:val="21"/>
        </w:rPr>
      </w:pPr>
      <w:r>
        <w:rPr>
          <w:rFonts w:hint="eastAsia" w:ascii="宋体" w:hAnsi="宋体"/>
          <w:sz w:val="21"/>
          <w:szCs w:val="21"/>
        </w:rPr>
        <w:t>20</w:t>
      </w:r>
      <w:r>
        <w:rPr>
          <w:rFonts w:ascii="宋体" w:hAnsi="宋体"/>
          <w:sz w:val="21"/>
          <w:szCs w:val="21"/>
        </w:rPr>
        <w:t>.</w:t>
      </w:r>
      <w:r>
        <w:rPr>
          <w:rFonts w:hint="eastAsia" w:ascii="宋体" w:hAnsi="宋体"/>
          <w:sz w:val="21"/>
          <w:szCs w:val="21"/>
        </w:rPr>
        <w:t xml:space="preserve"> 成交准则</w:t>
      </w:r>
    </w:p>
    <w:p>
      <w:pPr>
        <w:spacing w:line="360" w:lineRule="auto"/>
        <w:ind w:firstLine="420" w:firstLineChars="200"/>
        <w:rPr>
          <w:rFonts w:ascii="宋体" w:hAnsi="宋体"/>
          <w:sz w:val="21"/>
          <w:szCs w:val="21"/>
        </w:rPr>
      </w:pPr>
      <w:r>
        <w:rPr>
          <w:rFonts w:hint="eastAsia" w:ascii="宋体" w:hAnsi="宋体"/>
          <w:sz w:val="21"/>
          <w:szCs w:val="21"/>
        </w:rPr>
        <w:t>20</w:t>
      </w:r>
      <w:r>
        <w:rPr>
          <w:rFonts w:ascii="宋体" w:hAnsi="宋体"/>
          <w:sz w:val="21"/>
          <w:szCs w:val="21"/>
        </w:rPr>
        <w:t>.1</w:t>
      </w:r>
      <w:r>
        <w:rPr>
          <w:rFonts w:hint="eastAsia" w:ascii="宋体" w:hAnsi="宋体"/>
          <w:sz w:val="21"/>
          <w:szCs w:val="21"/>
        </w:rPr>
        <w:t xml:space="preserve"> 最低磋商价不作为成交的保证。</w:t>
      </w:r>
    </w:p>
    <w:p>
      <w:pPr>
        <w:spacing w:line="360" w:lineRule="auto"/>
        <w:ind w:firstLine="420" w:firstLineChars="200"/>
        <w:rPr>
          <w:rFonts w:ascii="宋体" w:hAnsi="宋体"/>
          <w:sz w:val="21"/>
          <w:szCs w:val="21"/>
        </w:rPr>
      </w:pPr>
      <w:r>
        <w:rPr>
          <w:rFonts w:hint="eastAsia" w:ascii="宋体" w:hAnsi="宋体"/>
          <w:sz w:val="21"/>
          <w:szCs w:val="21"/>
        </w:rPr>
        <w:t>20</w:t>
      </w:r>
      <w:r>
        <w:rPr>
          <w:rFonts w:ascii="宋体" w:hAnsi="宋体"/>
          <w:sz w:val="21"/>
          <w:szCs w:val="21"/>
        </w:rPr>
        <w:t>.</w:t>
      </w:r>
      <w:r>
        <w:rPr>
          <w:rFonts w:hint="eastAsia" w:ascii="宋体" w:hAnsi="宋体"/>
          <w:sz w:val="21"/>
          <w:szCs w:val="21"/>
        </w:rPr>
        <w:t>2 推荐情况</w:t>
      </w:r>
    </w:p>
    <w:p>
      <w:pPr>
        <w:spacing w:line="360" w:lineRule="auto"/>
        <w:ind w:firstLine="420" w:firstLineChars="200"/>
        <w:rPr>
          <w:rFonts w:ascii="宋体" w:hAnsi="宋体"/>
          <w:sz w:val="21"/>
          <w:szCs w:val="21"/>
        </w:rPr>
      </w:pPr>
      <w:r>
        <w:rPr>
          <w:rFonts w:hint="eastAsia" w:ascii="宋体" w:hAnsi="宋体"/>
          <w:sz w:val="21"/>
          <w:szCs w:val="21"/>
        </w:rPr>
        <w:t>20.2.1磋商响应供应商的磋商响应文件符合磋商文件要求，按磋商文件确定评审方法、标准，经磋商小组评审并推荐成交候选供应商。</w:t>
      </w:r>
    </w:p>
    <w:p>
      <w:pPr>
        <w:spacing w:line="360" w:lineRule="auto"/>
        <w:ind w:firstLine="420" w:firstLineChars="200"/>
        <w:rPr>
          <w:rFonts w:ascii="宋体" w:hAnsi="宋体"/>
          <w:sz w:val="21"/>
          <w:szCs w:val="21"/>
        </w:rPr>
      </w:pPr>
      <w:r>
        <w:rPr>
          <w:rFonts w:hint="eastAsia" w:ascii="宋体" w:hAnsi="宋体"/>
          <w:sz w:val="21"/>
          <w:szCs w:val="21"/>
        </w:rPr>
        <w:t>20.2.2出现磋商响应供应商有串通哄抬价格嫌疑，或出现影响采购公正的违法、违规行为，或因重大变故采购任务取消的，磋商小组可以作出不予推荐成交候选供应商、磋商失败的决定。</w:t>
      </w:r>
    </w:p>
    <w:p>
      <w:pPr>
        <w:spacing w:line="360" w:lineRule="auto"/>
        <w:ind w:left="420" w:leftChars="150"/>
        <w:rPr>
          <w:rFonts w:ascii="宋体" w:hAnsi="宋体"/>
          <w:sz w:val="21"/>
          <w:szCs w:val="21"/>
        </w:rPr>
      </w:pPr>
      <w:r>
        <w:rPr>
          <w:rFonts w:hint="eastAsia" w:ascii="宋体" w:hAnsi="宋体"/>
          <w:sz w:val="21"/>
          <w:szCs w:val="21"/>
        </w:rPr>
        <w:t>20.3</w:t>
      </w:r>
      <w:r>
        <w:rPr>
          <w:rFonts w:ascii="宋体" w:hAnsi="宋体"/>
          <w:sz w:val="21"/>
          <w:szCs w:val="21"/>
        </w:rPr>
        <w:t>评审结束后，招标代理机构在五个工作日内将评审报告送</w:t>
      </w:r>
      <w:r>
        <w:rPr>
          <w:rFonts w:hint="eastAsia" w:ascii="宋体" w:hAnsi="宋体"/>
          <w:sz w:val="21"/>
          <w:szCs w:val="21"/>
        </w:rPr>
        <w:t>采购人</w:t>
      </w:r>
      <w:r>
        <w:rPr>
          <w:rFonts w:ascii="宋体" w:hAnsi="宋体"/>
          <w:sz w:val="21"/>
          <w:szCs w:val="21"/>
        </w:rPr>
        <w:t>。</w:t>
      </w:r>
      <w:r>
        <w:rPr>
          <w:rFonts w:ascii="宋体" w:hAnsi="宋体"/>
          <w:sz w:val="21"/>
          <w:szCs w:val="21"/>
        </w:rPr>
        <w:br w:type="textWrapping"/>
      </w:r>
      <w:r>
        <w:rPr>
          <w:rFonts w:hint="eastAsia" w:ascii="宋体" w:hAnsi="宋体"/>
          <w:sz w:val="21"/>
          <w:szCs w:val="21"/>
        </w:rPr>
        <w:t>20.4采购</w:t>
      </w:r>
      <w:r>
        <w:rPr>
          <w:rFonts w:ascii="宋体" w:hAnsi="宋体"/>
          <w:sz w:val="21"/>
          <w:szCs w:val="21"/>
        </w:rPr>
        <w:t>人在收到评审报告后五个工作日内，按照评审报告中推荐的成交候选人顺</w:t>
      </w:r>
    </w:p>
    <w:p>
      <w:pPr>
        <w:spacing w:line="360" w:lineRule="auto"/>
        <w:rPr>
          <w:rFonts w:ascii="宋体" w:hAnsi="宋体"/>
          <w:sz w:val="21"/>
          <w:szCs w:val="21"/>
        </w:rPr>
      </w:pPr>
      <w:r>
        <w:rPr>
          <w:rFonts w:ascii="宋体" w:hAnsi="宋体"/>
          <w:sz w:val="21"/>
          <w:szCs w:val="21"/>
        </w:rPr>
        <w:t>序确定拟磋商成交供应商。</w:t>
      </w:r>
    </w:p>
    <w:p>
      <w:pPr>
        <w:spacing w:line="360" w:lineRule="auto"/>
        <w:ind w:firstLine="367" w:firstLineChars="175"/>
        <w:rPr>
          <w:rFonts w:ascii="宋体" w:hAnsi="宋体"/>
          <w:sz w:val="21"/>
          <w:szCs w:val="21"/>
        </w:rPr>
      </w:pPr>
      <w:r>
        <w:rPr>
          <w:rFonts w:hint="eastAsia" w:ascii="宋体" w:hAnsi="宋体"/>
          <w:sz w:val="21"/>
          <w:szCs w:val="21"/>
        </w:rPr>
        <w:t>20.4.1</w:t>
      </w:r>
      <w:r>
        <w:rPr>
          <w:rFonts w:ascii="宋体" w:hAnsi="宋体"/>
          <w:sz w:val="21"/>
          <w:szCs w:val="21"/>
        </w:rPr>
        <w:t xml:space="preserve"> </w:t>
      </w:r>
      <w:r>
        <w:rPr>
          <w:rFonts w:hint="eastAsia" w:ascii="宋体" w:hAnsi="宋体"/>
          <w:sz w:val="21"/>
          <w:szCs w:val="21"/>
        </w:rPr>
        <w:t>采购</w:t>
      </w:r>
      <w:r>
        <w:rPr>
          <w:rFonts w:ascii="宋体" w:hAnsi="宋体"/>
          <w:sz w:val="21"/>
          <w:szCs w:val="21"/>
        </w:rPr>
        <w:t>人</w:t>
      </w:r>
      <w:r>
        <w:rPr>
          <w:rFonts w:hint="eastAsia" w:ascii="宋体" w:hAnsi="宋体"/>
          <w:sz w:val="21"/>
          <w:szCs w:val="21"/>
        </w:rPr>
        <w:t>可以要求拟磋商成交供应商候选人提供磋商响应文件中复印件的原件进行核对,以及</w:t>
      </w:r>
      <w:r>
        <w:rPr>
          <w:rFonts w:ascii="宋体" w:hAnsi="宋体"/>
          <w:sz w:val="21"/>
          <w:szCs w:val="21"/>
        </w:rPr>
        <w:t>审查拟磋商成交供应商</w:t>
      </w:r>
      <w:r>
        <w:rPr>
          <w:rFonts w:hint="eastAsia" w:ascii="宋体" w:hAnsi="宋体"/>
          <w:sz w:val="21"/>
          <w:szCs w:val="21"/>
        </w:rPr>
        <w:t>候选人的</w:t>
      </w:r>
      <w:r>
        <w:rPr>
          <w:rFonts w:ascii="宋体" w:hAnsi="宋体"/>
          <w:sz w:val="21"/>
          <w:szCs w:val="21"/>
        </w:rPr>
        <w:t>磋商响应供应商资格、信誉、生产条件、产品技术状态、性能以及在不违背相关法律法规规定的其它</w:t>
      </w:r>
      <w:r>
        <w:rPr>
          <w:rFonts w:hint="eastAsia" w:ascii="宋体" w:hAnsi="宋体"/>
          <w:sz w:val="21"/>
          <w:szCs w:val="21"/>
        </w:rPr>
        <w:t>采购</w:t>
      </w:r>
      <w:r>
        <w:rPr>
          <w:rFonts w:ascii="宋体" w:hAnsi="宋体"/>
          <w:sz w:val="21"/>
          <w:szCs w:val="21"/>
        </w:rPr>
        <w:t>人认为有必要了解的问题。</w:t>
      </w:r>
    </w:p>
    <w:p>
      <w:pPr>
        <w:spacing w:line="360" w:lineRule="auto"/>
        <w:ind w:firstLine="367" w:firstLineChars="175"/>
        <w:rPr>
          <w:rFonts w:ascii="宋体" w:hAnsi="宋体"/>
          <w:sz w:val="21"/>
          <w:szCs w:val="21"/>
        </w:rPr>
      </w:pPr>
      <w:r>
        <w:rPr>
          <w:rFonts w:hint="eastAsia" w:ascii="宋体" w:hAnsi="宋体"/>
          <w:sz w:val="21"/>
          <w:szCs w:val="21"/>
        </w:rPr>
        <w:t>20.4.2</w:t>
      </w:r>
      <w:r>
        <w:rPr>
          <w:rFonts w:ascii="宋体" w:hAnsi="宋体"/>
          <w:sz w:val="21"/>
          <w:szCs w:val="21"/>
        </w:rPr>
        <w:t>接受</w:t>
      </w:r>
      <w:r>
        <w:rPr>
          <w:rFonts w:hint="eastAsia" w:ascii="宋体" w:hAnsi="宋体"/>
          <w:sz w:val="21"/>
          <w:szCs w:val="21"/>
        </w:rPr>
        <w:t>质询的成交候选人</w:t>
      </w:r>
      <w:r>
        <w:rPr>
          <w:rFonts w:ascii="宋体" w:hAnsi="宋体"/>
          <w:sz w:val="21"/>
          <w:szCs w:val="21"/>
        </w:rPr>
        <w:t>必须如实回答询问或接受</w:t>
      </w:r>
      <w:r>
        <w:rPr>
          <w:rFonts w:hint="eastAsia" w:ascii="宋体" w:hAnsi="宋体"/>
          <w:sz w:val="21"/>
          <w:szCs w:val="21"/>
        </w:rPr>
        <w:t>采购</w:t>
      </w:r>
      <w:r>
        <w:rPr>
          <w:rFonts w:ascii="宋体" w:hAnsi="宋体"/>
          <w:sz w:val="21"/>
          <w:szCs w:val="21"/>
        </w:rPr>
        <w:t>人的考察，并提供所需的有关资料。</w:t>
      </w:r>
    </w:p>
    <w:p>
      <w:pPr>
        <w:spacing w:line="360" w:lineRule="auto"/>
        <w:ind w:firstLine="367" w:firstLineChars="175"/>
        <w:rPr>
          <w:rFonts w:ascii="宋体" w:hAnsi="宋体"/>
          <w:sz w:val="21"/>
          <w:szCs w:val="21"/>
        </w:rPr>
      </w:pPr>
      <w:r>
        <w:rPr>
          <w:rFonts w:hint="eastAsia" w:ascii="宋体" w:hAnsi="宋体"/>
          <w:sz w:val="21"/>
          <w:szCs w:val="21"/>
        </w:rPr>
        <w:t>20.4.3</w:t>
      </w:r>
      <w:r>
        <w:rPr>
          <w:rFonts w:ascii="宋体" w:hAnsi="宋体"/>
          <w:sz w:val="21"/>
          <w:szCs w:val="21"/>
        </w:rPr>
        <w:t>如果成交</w:t>
      </w:r>
      <w:r>
        <w:rPr>
          <w:rFonts w:hint="eastAsia" w:ascii="宋体" w:hAnsi="宋体"/>
          <w:sz w:val="21"/>
          <w:szCs w:val="21"/>
        </w:rPr>
        <w:t>候选人未在结果公告后的5个工作日内配合采购人办理20.4.1款项的内容,或</w:t>
      </w:r>
      <w:r>
        <w:rPr>
          <w:rFonts w:ascii="宋体" w:hAnsi="宋体"/>
          <w:sz w:val="21"/>
          <w:szCs w:val="21"/>
        </w:rPr>
        <w:t>无能力履行合同，其磋商将被拒绝，</w:t>
      </w:r>
      <w:r>
        <w:rPr>
          <w:rFonts w:hint="eastAsia" w:ascii="宋体" w:hAnsi="宋体"/>
          <w:sz w:val="21"/>
          <w:szCs w:val="21"/>
        </w:rPr>
        <w:t>采购</w:t>
      </w:r>
      <w:r>
        <w:rPr>
          <w:rFonts w:ascii="宋体" w:hAnsi="宋体"/>
          <w:sz w:val="21"/>
          <w:szCs w:val="21"/>
        </w:rPr>
        <w:t>人将对</w:t>
      </w:r>
      <w:r>
        <w:rPr>
          <w:rFonts w:hint="eastAsia" w:ascii="宋体" w:hAnsi="宋体"/>
          <w:sz w:val="21"/>
          <w:szCs w:val="21"/>
        </w:rPr>
        <w:t>第二成交候选人</w:t>
      </w:r>
      <w:r>
        <w:rPr>
          <w:rFonts w:ascii="宋体" w:hAnsi="宋体"/>
          <w:sz w:val="21"/>
          <w:szCs w:val="21"/>
        </w:rPr>
        <w:t>做类似审查</w:t>
      </w:r>
      <w:r>
        <w:rPr>
          <w:rFonts w:hint="eastAsia" w:ascii="宋体" w:hAnsi="宋体"/>
          <w:sz w:val="21"/>
          <w:szCs w:val="21"/>
        </w:rPr>
        <w:t>，并将审查结果报磋商小组讨论或上报采购主管部门</w:t>
      </w:r>
      <w:r>
        <w:rPr>
          <w:rFonts w:ascii="宋体" w:hAnsi="宋体"/>
          <w:sz w:val="21"/>
          <w:szCs w:val="21"/>
        </w:rPr>
        <w:t>按相关规定处理</w:t>
      </w:r>
      <w:r>
        <w:rPr>
          <w:rFonts w:hint="eastAsia" w:ascii="宋体" w:hAnsi="宋体"/>
          <w:sz w:val="21"/>
          <w:szCs w:val="21"/>
        </w:rPr>
        <w:t>。</w:t>
      </w:r>
    </w:p>
    <w:p>
      <w:pPr>
        <w:spacing w:line="360" w:lineRule="auto"/>
        <w:ind w:firstLine="420" w:firstLineChars="175"/>
        <w:rPr>
          <w:rFonts w:ascii="宋体" w:hAnsi="宋体"/>
          <w:sz w:val="24"/>
        </w:rPr>
      </w:pPr>
    </w:p>
    <w:p>
      <w:pPr>
        <w:spacing w:line="360" w:lineRule="auto"/>
        <w:ind w:firstLine="367" w:firstLineChars="175"/>
        <w:rPr>
          <w:rFonts w:ascii="宋体" w:hAnsi="宋体"/>
          <w:sz w:val="21"/>
          <w:szCs w:val="21"/>
        </w:rPr>
      </w:pPr>
      <w:r>
        <w:rPr>
          <w:rFonts w:hint="eastAsia" w:ascii="宋体" w:hAnsi="宋体"/>
          <w:sz w:val="21"/>
          <w:szCs w:val="21"/>
        </w:rPr>
        <w:t>21</w:t>
      </w:r>
      <w:r>
        <w:rPr>
          <w:rFonts w:ascii="宋体" w:hAnsi="宋体"/>
          <w:sz w:val="21"/>
          <w:szCs w:val="21"/>
        </w:rPr>
        <w:t xml:space="preserve">. </w:t>
      </w:r>
      <w:r>
        <w:rPr>
          <w:rFonts w:hint="eastAsia" w:ascii="宋体" w:hAnsi="宋体"/>
          <w:sz w:val="21"/>
          <w:szCs w:val="21"/>
        </w:rPr>
        <w:t>成交通知</w:t>
      </w:r>
    </w:p>
    <w:p>
      <w:pPr>
        <w:spacing w:line="360" w:lineRule="auto"/>
        <w:ind w:firstLine="420" w:firstLineChars="200"/>
        <w:rPr>
          <w:rFonts w:ascii="宋体" w:hAnsi="宋体"/>
          <w:sz w:val="21"/>
          <w:szCs w:val="21"/>
        </w:rPr>
      </w:pPr>
      <w:r>
        <w:rPr>
          <w:rFonts w:hint="eastAsia" w:ascii="宋体" w:hAnsi="宋体"/>
          <w:sz w:val="21"/>
          <w:szCs w:val="21"/>
        </w:rPr>
        <w:t>21</w:t>
      </w:r>
      <w:r>
        <w:rPr>
          <w:rFonts w:ascii="宋体" w:hAnsi="宋体"/>
          <w:sz w:val="21"/>
          <w:szCs w:val="21"/>
        </w:rPr>
        <w:t xml:space="preserve">.1 </w:t>
      </w:r>
      <w:r>
        <w:rPr>
          <w:rFonts w:hint="eastAsia" w:ascii="宋体" w:hAnsi="宋体"/>
          <w:sz w:val="21"/>
          <w:szCs w:val="21"/>
        </w:rPr>
        <w:t>结果确认后，招标代理机构将在刊登本采购项目信息公告的媒介上对成交结果进行公告，同时招标代理机构向磋商成交供应商发出成交通知书。成交通知书对采购人和磋商成交供应商具有同等法律效力。成交通知书发出后，采购人改变成交结果，或者磋商成交供应商放弃成交，应当承担相应的法律责任。</w:t>
      </w:r>
    </w:p>
    <w:p>
      <w:pPr>
        <w:spacing w:line="360" w:lineRule="auto"/>
        <w:ind w:firstLine="420" w:firstLineChars="200"/>
        <w:rPr>
          <w:rFonts w:ascii="宋体" w:hAnsi="宋体"/>
          <w:sz w:val="21"/>
          <w:szCs w:val="21"/>
        </w:rPr>
      </w:pPr>
      <w:r>
        <w:rPr>
          <w:rFonts w:hint="eastAsia" w:ascii="宋体" w:hAnsi="宋体"/>
          <w:sz w:val="21"/>
          <w:szCs w:val="21"/>
        </w:rPr>
        <w:t>21.2 招标代理机构将在《成交通知书》发出的同时将未成交通知书发送给未成交的其它磋商响应供应商，请未成交的磋商响应供应商到（厦门市思明区莲岳路221-1号公交大厦1号楼6楼）领取。</w:t>
      </w:r>
    </w:p>
    <w:p>
      <w:pPr>
        <w:spacing w:line="360" w:lineRule="auto"/>
        <w:ind w:firstLine="420" w:firstLineChars="200"/>
        <w:rPr>
          <w:rFonts w:ascii="宋体" w:hAnsi="宋体"/>
          <w:sz w:val="21"/>
          <w:szCs w:val="21"/>
        </w:rPr>
      </w:pPr>
      <w:r>
        <w:rPr>
          <w:rFonts w:hint="eastAsia" w:ascii="宋体" w:hAnsi="宋体"/>
          <w:sz w:val="21"/>
          <w:szCs w:val="21"/>
        </w:rPr>
        <w:t>21</w:t>
      </w:r>
      <w:r>
        <w:rPr>
          <w:rFonts w:ascii="宋体" w:hAnsi="宋体"/>
          <w:sz w:val="21"/>
          <w:szCs w:val="21"/>
        </w:rPr>
        <w:t>.</w:t>
      </w:r>
      <w:r>
        <w:rPr>
          <w:rFonts w:hint="eastAsia" w:ascii="宋体" w:hAnsi="宋体"/>
          <w:sz w:val="21"/>
          <w:szCs w:val="21"/>
        </w:rPr>
        <w:t>3</w:t>
      </w:r>
      <w:r>
        <w:rPr>
          <w:rFonts w:ascii="宋体" w:hAnsi="宋体"/>
          <w:sz w:val="21"/>
          <w:szCs w:val="21"/>
        </w:rPr>
        <w:t xml:space="preserve"> </w:t>
      </w:r>
      <w:r>
        <w:rPr>
          <w:rFonts w:hint="eastAsia" w:ascii="宋体" w:hAnsi="宋体"/>
          <w:sz w:val="21"/>
          <w:szCs w:val="21"/>
        </w:rPr>
        <w:t>《成交通知书》将作为签定采购合同的依据。采购合同签定后，《成交通知书》成为合同的一部分。</w:t>
      </w:r>
    </w:p>
    <w:p>
      <w:pPr>
        <w:spacing w:line="360" w:lineRule="auto"/>
        <w:ind w:firstLine="420" w:firstLineChars="200"/>
        <w:rPr>
          <w:rFonts w:ascii="宋体" w:hAnsi="宋体"/>
          <w:sz w:val="21"/>
          <w:szCs w:val="21"/>
        </w:rPr>
      </w:pPr>
      <w:r>
        <w:rPr>
          <w:rFonts w:hint="eastAsia" w:ascii="宋体" w:hAnsi="宋体"/>
          <w:sz w:val="21"/>
          <w:szCs w:val="21"/>
        </w:rPr>
        <w:t>21</w:t>
      </w:r>
      <w:r>
        <w:rPr>
          <w:rFonts w:ascii="宋体" w:hAnsi="宋体"/>
          <w:sz w:val="21"/>
          <w:szCs w:val="21"/>
        </w:rPr>
        <w:t>.</w:t>
      </w:r>
      <w:r>
        <w:rPr>
          <w:rFonts w:hint="eastAsia" w:ascii="宋体" w:hAnsi="宋体"/>
          <w:sz w:val="21"/>
          <w:szCs w:val="21"/>
        </w:rPr>
        <w:t>4 招标代理机构应当在成交通知书发出后5个工作日内无息退还未成交的磋商响应供应商的磋商响应保证金（含保函），在采购人与磋商成交供应商签定合同后（若有交纳履约磋商响应保证金要求的，则在磋商成交供应商交纳履约磋商响应保证金后）5个工作日内，无息退还磋商成交供应商的磋商响应保证金。有关磋商响应供应商应按磋商文件要求及时向招标代理机构提交退还磋商响应保证金的凭证材料。</w:t>
      </w:r>
    </w:p>
    <w:p>
      <w:pPr>
        <w:spacing w:line="360" w:lineRule="auto"/>
        <w:ind w:firstLine="420" w:firstLineChars="200"/>
        <w:rPr>
          <w:rFonts w:ascii="宋体" w:hAnsi="宋体"/>
          <w:sz w:val="21"/>
          <w:szCs w:val="21"/>
        </w:rPr>
      </w:pPr>
    </w:p>
    <w:p>
      <w:pPr>
        <w:spacing w:line="360" w:lineRule="auto"/>
        <w:rPr>
          <w:rFonts w:ascii="宋体" w:hAnsi="宋体"/>
          <w:sz w:val="21"/>
          <w:szCs w:val="21"/>
        </w:rPr>
      </w:pPr>
      <w:r>
        <w:rPr>
          <w:rFonts w:hint="eastAsia" w:ascii="宋体" w:hAnsi="宋体"/>
          <w:sz w:val="21"/>
          <w:szCs w:val="21"/>
        </w:rPr>
        <w:t>22. 签定合同</w:t>
      </w:r>
    </w:p>
    <w:p>
      <w:pPr>
        <w:spacing w:line="360" w:lineRule="auto"/>
        <w:ind w:firstLine="420" w:firstLineChars="200"/>
        <w:rPr>
          <w:rFonts w:ascii="宋体" w:hAnsi="宋体"/>
          <w:sz w:val="21"/>
          <w:szCs w:val="21"/>
        </w:rPr>
      </w:pPr>
      <w:r>
        <w:rPr>
          <w:rFonts w:hint="eastAsia" w:ascii="宋体" w:hAnsi="宋体"/>
          <w:sz w:val="21"/>
          <w:szCs w:val="21"/>
        </w:rPr>
        <w:t>22</w:t>
      </w:r>
      <w:r>
        <w:rPr>
          <w:rFonts w:ascii="宋体" w:hAnsi="宋体"/>
          <w:sz w:val="21"/>
          <w:szCs w:val="21"/>
        </w:rPr>
        <w:t>.</w:t>
      </w:r>
      <w:r>
        <w:rPr>
          <w:rFonts w:hint="eastAsia" w:ascii="宋体" w:hAnsi="宋体"/>
          <w:sz w:val="21"/>
          <w:szCs w:val="21"/>
        </w:rPr>
        <w:t>1 采购人、磋商成交供应商应当在成交公告、《成交通知书》发出之日起30日内，根据磋商文件确定的事项和磋商成交供应商磋商响应文件，签定合同。双方所签定的合同不得对磋商文件和磋商成交供应商磋商响应文件作实质性修改。逾期未签定合同，按照有关法律规定承担相应的法律责任。属磋商成交供应商责任的，招标代理机构将没收其磋商响应保证金，以抵偿对采购人造成的损失。采购人逾期不与磋商成交供应商签定合同的，按有关规定处理。</w:t>
      </w:r>
    </w:p>
    <w:p>
      <w:pPr>
        <w:spacing w:line="360" w:lineRule="auto"/>
        <w:ind w:firstLine="420" w:firstLineChars="200"/>
        <w:rPr>
          <w:rFonts w:ascii="宋体" w:hAnsi="宋体"/>
          <w:sz w:val="21"/>
          <w:szCs w:val="21"/>
        </w:rPr>
      </w:pPr>
      <w:r>
        <w:rPr>
          <w:rFonts w:hint="eastAsia" w:ascii="宋体" w:hAnsi="宋体"/>
          <w:sz w:val="21"/>
          <w:szCs w:val="21"/>
        </w:rPr>
        <w:t>22</w:t>
      </w:r>
      <w:r>
        <w:rPr>
          <w:rFonts w:ascii="宋体" w:hAnsi="宋体"/>
          <w:sz w:val="21"/>
          <w:szCs w:val="21"/>
        </w:rPr>
        <w:t>.</w:t>
      </w:r>
      <w:r>
        <w:rPr>
          <w:rFonts w:hint="eastAsia" w:ascii="宋体" w:hAnsi="宋体"/>
          <w:sz w:val="21"/>
          <w:szCs w:val="21"/>
        </w:rPr>
        <w:t>2 磋商文件、磋商文件的修改文件、磋商成交供应商的磋商响应文件、补充或修改的文件及澄清或承诺文件等，均为双方签定采购合同的组成部分，并与合同一并作为本磋商文件所列采购项目的互补性法律文件，与合同具有同等法律效力。</w:t>
      </w:r>
    </w:p>
    <w:p>
      <w:pPr>
        <w:spacing w:line="360" w:lineRule="auto"/>
        <w:ind w:firstLine="420" w:firstLineChars="200"/>
        <w:rPr>
          <w:rFonts w:ascii="宋体" w:hAnsi="宋体"/>
          <w:sz w:val="21"/>
          <w:szCs w:val="21"/>
        </w:rPr>
      </w:pPr>
      <w:r>
        <w:rPr>
          <w:rFonts w:hint="eastAsia" w:ascii="宋体" w:hAnsi="宋体"/>
          <w:sz w:val="21"/>
          <w:szCs w:val="21"/>
        </w:rPr>
        <w:t>22</w:t>
      </w:r>
      <w:r>
        <w:rPr>
          <w:rFonts w:ascii="宋体" w:hAnsi="宋体"/>
          <w:sz w:val="21"/>
          <w:szCs w:val="21"/>
        </w:rPr>
        <w:t>.</w:t>
      </w:r>
      <w:r>
        <w:rPr>
          <w:rFonts w:hint="eastAsia" w:ascii="宋体" w:hAnsi="宋体"/>
          <w:sz w:val="21"/>
          <w:szCs w:val="21"/>
        </w:rPr>
        <w:t>3 采购人在合同履行中，需追加与合同标的相同的货物或者服务的，在不改变合同其他条款的前提下，经采购办批准，可与磋商响应供应商协商签定补充合同，但所有补充合同的采购金额不得超过原合同采购金额的10%。</w:t>
      </w:r>
    </w:p>
    <w:p>
      <w:pPr>
        <w:spacing w:line="360" w:lineRule="auto"/>
        <w:ind w:firstLine="420" w:firstLineChars="200"/>
        <w:rPr>
          <w:rFonts w:ascii="宋体" w:hAnsi="宋体"/>
          <w:sz w:val="21"/>
          <w:szCs w:val="21"/>
        </w:rPr>
      </w:pPr>
    </w:p>
    <w:p>
      <w:pPr>
        <w:pStyle w:val="7"/>
        <w:jc w:val="center"/>
        <w:rPr>
          <w:rFonts w:ascii="宋体" w:hAnsi="宋体" w:eastAsia="宋体"/>
        </w:rPr>
      </w:pPr>
      <w:bookmarkStart w:id="40" w:name="_Toc19475"/>
      <w:bookmarkStart w:id="41" w:name="_Toc28786"/>
      <w:r>
        <w:rPr>
          <w:rFonts w:hint="eastAsia" w:ascii="宋体" w:hAnsi="宋体" w:eastAsia="宋体"/>
        </w:rPr>
        <w:t>七、其他</w:t>
      </w:r>
      <w:bookmarkEnd w:id="40"/>
      <w:bookmarkEnd w:id="41"/>
    </w:p>
    <w:p>
      <w:pPr>
        <w:spacing w:line="360" w:lineRule="auto"/>
        <w:ind w:firstLine="420" w:firstLineChars="200"/>
        <w:rPr>
          <w:rFonts w:ascii="宋体" w:hAnsi="宋体"/>
          <w:sz w:val="21"/>
          <w:szCs w:val="21"/>
        </w:rPr>
      </w:pPr>
      <w:r>
        <w:rPr>
          <w:rFonts w:hint="eastAsia" w:ascii="宋体" w:hAnsi="宋体"/>
          <w:sz w:val="21"/>
          <w:szCs w:val="21"/>
        </w:rPr>
        <w:t>23磋商响应供应商相关责任</w:t>
      </w:r>
    </w:p>
    <w:p>
      <w:pPr>
        <w:spacing w:line="360" w:lineRule="auto"/>
        <w:ind w:firstLine="420" w:firstLineChars="200"/>
        <w:rPr>
          <w:rFonts w:ascii="宋体" w:hAnsi="宋体"/>
          <w:sz w:val="21"/>
          <w:szCs w:val="21"/>
        </w:rPr>
      </w:pPr>
      <w:r>
        <w:rPr>
          <w:rFonts w:hint="eastAsia" w:ascii="宋体" w:hAnsi="宋体"/>
          <w:sz w:val="21"/>
          <w:szCs w:val="21"/>
        </w:rPr>
        <w:t>23.1</w:t>
      </w:r>
      <w:r>
        <w:rPr>
          <w:rFonts w:ascii="宋体" w:hAnsi="宋体"/>
          <w:sz w:val="21"/>
          <w:szCs w:val="21"/>
        </w:rPr>
        <w:t>磋商响应供应商有下列情形之一的，</w:t>
      </w:r>
      <w:r>
        <w:rPr>
          <w:rFonts w:hint="eastAsia" w:ascii="宋体" w:hAnsi="宋体"/>
          <w:sz w:val="21"/>
          <w:szCs w:val="21"/>
        </w:rPr>
        <w:t>由管理部门</w:t>
      </w:r>
      <w:r>
        <w:rPr>
          <w:rFonts w:ascii="宋体" w:hAnsi="宋体"/>
          <w:sz w:val="21"/>
          <w:szCs w:val="21"/>
        </w:rPr>
        <w:t xml:space="preserve">处以采购项目成交金额千分之五以上千分之十以下的罚款，列入不良行为记录名单，在一至三年内禁止参加采购活动，并予以公告，有违法所得的，并处没收违法所得，情节严重的，由工商行政管理机关吊销营业执照；构成犯罪的，依法追究刑事责任： </w:t>
      </w:r>
      <w:r>
        <w:rPr>
          <w:rFonts w:ascii="宋体" w:hAnsi="宋体"/>
          <w:sz w:val="21"/>
          <w:szCs w:val="21"/>
        </w:rPr>
        <w:br w:type="textWrapping"/>
      </w:r>
      <w:r>
        <w:rPr>
          <w:rFonts w:ascii="宋体" w:hAnsi="宋体"/>
          <w:sz w:val="21"/>
          <w:szCs w:val="21"/>
        </w:rPr>
        <w:t xml:space="preserve">　　（一）提供虚假材料谋取成交的； </w:t>
      </w:r>
      <w:r>
        <w:rPr>
          <w:rFonts w:ascii="宋体" w:hAnsi="宋体"/>
          <w:sz w:val="21"/>
          <w:szCs w:val="21"/>
        </w:rPr>
        <w:br w:type="textWrapping"/>
      </w:r>
      <w:r>
        <w:rPr>
          <w:rFonts w:ascii="宋体" w:hAnsi="宋体"/>
          <w:sz w:val="21"/>
          <w:szCs w:val="21"/>
        </w:rPr>
        <w:t xml:space="preserve">　　（二）采取不正当手段诋毁、排挤其他磋商响应供应商的； </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（三）与采购单位、其他磋商响应供应商恶意串通的； </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（四）向采购单位行贿或者提供其他不正当利益的； </w:t>
      </w:r>
      <w:r>
        <w:rPr>
          <w:rFonts w:ascii="宋体" w:hAnsi="宋体"/>
          <w:sz w:val="21"/>
          <w:szCs w:val="21"/>
        </w:rPr>
        <w:br w:type="textWrapping"/>
      </w:r>
      <w:r>
        <w:rPr>
          <w:rFonts w:ascii="宋体" w:hAnsi="宋体"/>
          <w:sz w:val="21"/>
          <w:szCs w:val="21"/>
        </w:rPr>
        <w:t>　　（五）在</w:t>
      </w:r>
      <w:r>
        <w:rPr>
          <w:rFonts w:hint="eastAsia" w:ascii="宋体" w:hAnsi="宋体"/>
          <w:sz w:val="21"/>
          <w:szCs w:val="21"/>
        </w:rPr>
        <w:t>采购</w:t>
      </w:r>
      <w:r>
        <w:rPr>
          <w:rFonts w:ascii="宋体" w:hAnsi="宋体"/>
          <w:sz w:val="21"/>
          <w:szCs w:val="21"/>
        </w:rPr>
        <w:t xml:space="preserve">过程中与采购单位进行协商磋商、不按照磋商文件和磋商响应文件订立合同，或者与采购人另行订立背离合同实质性内容的协议的； </w:t>
      </w:r>
      <w:r>
        <w:rPr>
          <w:rFonts w:ascii="宋体" w:hAnsi="宋体"/>
          <w:sz w:val="21"/>
          <w:szCs w:val="21"/>
        </w:rPr>
        <w:br w:type="textWrapping"/>
      </w:r>
      <w:r>
        <w:rPr>
          <w:rFonts w:ascii="宋体" w:hAnsi="宋体"/>
          <w:sz w:val="21"/>
          <w:szCs w:val="21"/>
        </w:rPr>
        <w:t xml:space="preserve">　　（六）拒绝有关部门监督检查或者提供虚假情况的。 </w:t>
      </w:r>
      <w:r>
        <w:rPr>
          <w:rFonts w:ascii="宋体" w:hAnsi="宋体"/>
          <w:sz w:val="21"/>
          <w:szCs w:val="21"/>
        </w:rPr>
        <w:br w:type="textWrapping"/>
      </w:r>
      <w:r>
        <w:rPr>
          <w:rFonts w:ascii="宋体" w:hAnsi="宋体"/>
          <w:sz w:val="21"/>
          <w:szCs w:val="21"/>
        </w:rPr>
        <w:t xml:space="preserve">　　磋商响应供应商有前款情形之一的，成交无效。 </w:t>
      </w:r>
      <w:r>
        <w:rPr>
          <w:rFonts w:ascii="宋体" w:hAnsi="宋体"/>
          <w:sz w:val="21"/>
          <w:szCs w:val="21"/>
        </w:rPr>
        <w:br w:type="textWrapping"/>
      </w:r>
      <w:r>
        <w:rPr>
          <w:rFonts w:ascii="宋体" w:hAnsi="宋体"/>
          <w:sz w:val="21"/>
          <w:szCs w:val="21"/>
        </w:rPr>
        <w:t xml:space="preserve">  </w:t>
      </w:r>
      <w:r>
        <w:rPr>
          <w:rFonts w:hint="eastAsia" w:ascii="宋体" w:hAnsi="宋体"/>
          <w:sz w:val="21"/>
          <w:szCs w:val="21"/>
        </w:rPr>
        <w:t>23.2</w:t>
      </w:r>
      <w:r>
        <w:rPr>
          <w:rFonts w:ascii="宋体" w:hAnsi="宋体"/>
          <w:sz w:val="21"/>
          <w:szCs w:val="21"/>
        </w:rPr>
        <w:t xml:space="preserve"> 磋商成交供应商有下列情形之一的，采购单位不予退还其交纳的磋商响应保证金；情节严重的，由财政部门将其列入不良行为记录名单，在一至三年内禁止参加采购活动，并予以通报：</w:t>
      </w:r>
      <w:r>
        <w:rPr>
          <w:rFonts w:ascii="宋体" w:hAnsi="宋体"/>
          <w:sz w:val="21"/>
          <w:szCs w:val="21"/>
        </w:rPr>
        <w:br w:type="textWrapping"/>
      </w:r>
      <w:r>
        <w:rPr>
          <w:rFonts w:ascii="宋体" w:hAnsi="宋体"/>
          <w:sz w:val="21"/>
          <w:szCs w:val="21"/>
        </w:rPr>
        <w:t>　　（一）成交后无正当理由不与采购人或者招标代理机构签定合同的；</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（二）将成交项目转让给他人，或者在磋商响应文件中未说明，且未经采购招标机构同意，将成交项目分包给他人的；</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（三）拒绝履行合同义务的。</w:t>
      </w:r>
    </w:p>
    <w:p>
      <w:pPr>
        <w:spacing w:line="360" w:lineRule="auto"/>
        <w:ind w:firstLine="420" w:firstLineChars="200"/>
        <w:rPr>
          <w:rFonts w:ascii="宋体" w:hAnsi="宋体"/>
          <w:sz w:val="21"/>
          <w:szCs w:val="21"/>
        </w:rPr>
      </w:pPr>
      <w:r>
        <w:rPr>
          <w:rFonts w:hint="eastAsia" w:ascii="宋体" w:hAnsi="宋体"/>
          <w:sz w:val="21"/>
          <w:szCs w:val="21"/>
        </w:rPr>
        <w:t>24质疑投诉</w:t>
      </w:r>
    </w:p>
    <w:p>
      <w:pPr>
        <w:spacing w:line="360" w:lineRule="auto"/>
        <w:ind w:firstLine="420" w:firstLineChars="200"/>
        <w:rPr>
          <w:rFonts w:ascii="宋体" w:hAnsi="宋体"/>
          <w:sz w:val="21"/>
          <w:szCs w:val="21"/>
        </w:rPr>
      </w:pPr>
      <w:r>
        <w:rPr>
          <w:rFonts w:hint="eastAsia" w:ascii="宋体" w:hAnsi="宋体"/>
          <w:sz w:val="21"/>
          <w:szCs w:val="21"/>
        </w:rPr>
        <w:t>24.1磋商响应供应商认为采购文件、采购过程和成交结果使自己的权益受到损害的，应当在知道或者应知其权益受到损害之日起七个工作日内，以书面形式向招标代理机构提出质疑。</w:t>
      </w:r>
    </w:p>
    <w:p>
      <w:pPr>
        <w:spacing w:line="360" w:lineRule="auto"/>
        <w:ind w:firstLine="420" w:firstLineChars="200"/>
        <w:rPr>
          <w:rFonts w:ascii="宋体" w:hAnsi="宋体"/>
          <w:sz w:val="21"/>
          <w:szCs w:val="21"/>
        </w:rPr>
      </w:pPr>
      <w:r>
        <w:rPr>
          <w:rFonts w:ascii="宋体" w:hAnsi="宋体"/>
          <w:sz w:val="21"/>
          <w:szCs w:val="21"/>
        </w:rPr>
        <w:t>磋商响应供应商对成交公告有异议的，应当在成交公告发布之日起七个工作日内，</w:t>
      </w:r>
      <w:r>
        <w:rPr>
          <w:rFonts w:hint="eastAsia" w:ascii="宋体" w:hAnsi="宋体"/>
          <w:sz w:val="21"/>
          <w:szCs w:val="21"/>
        </w:rPr>
        <w:t>可到（厦门市思明区莲岳路221-1号公交大厦1号楼6楼）领取以</w:t>
      </w:r>
      <w:r>
        <w:rPr>
          <w:rFonts w:ascii="宋体" w:hAnsi="宋体"/>
          <w:sz w:val="21"/>
          <w:szCs w:val="21"/>
        </w:rPr>
        <w:t>书面形式向招标</w:t>
      </w:r>
      <w:r>
        <w:rPr>
          <w:rFonts w:hint="eastAsia" w:ascii="宋体" w:hAnsi="宋体"/>
          <w:sz w:val="21"/>
          <w:szCs w:val="21"/>
        </w:rPr>
        <w:t>代理机构</w:t>
      </w:r>
      <w:r>
        <w:rPr>
          <w:rFonts w:ascii="宋体" w:hAnsi="宋体"/>
          <w:sz w:val="21"/>
          <w:szCs w:val="21"/>
        </w:rPr>
        <w:t>提出质疑。招标代理机构</w:t>
      </w:r>
      <w:r>
        <w:rPr>
          <w:rFonts w:hint="eastAsia" w:ascii="宋体" w:hAnsi="宋体"/>
          <w:sz w:val="21"/>
          <w:szCs w:val="21"/>
        </w:rPr>
        <w:t>将</w:t>
      </w:r>
      <w:r>
        <w:rPr>
          <w:rFonts w:ascii="宋体" w:hAnsi="宋体"/>
          <w:sz w:val="21"/>
          <w:szCs w:val="21"/>
        </w:rPr>
        <w:t>在收到磋商响应供应商书面质疑后七个工作日内，对质疑内容作出答复。</w:t>
      </w:r>
      <w:r>
        <w:rPr>
          <w:rFonts w:ascii="宋体" w:hAnsi="宋体"/>
          <w:sz w:val="21"/>
          <w:szCs w:val="21"/>
        </w:rPr>
        <w:br w:type="textWrapping"/>
      </w:r>
      <w:r>
        <w:rPr>
          <w:rFonts w:hint="eastAsia" w:ascii="宋体" w:hAnsi="宋体"/>
          <w:sz w:val="21"/>
          <w:szCs w:val="21"/>
        </w:rPr>
        <w:t xml:space="preserve">   24.2</w:t>
      </w:r>
      <w:r>
        <w:rPr>
          <w:rFonts w:ascii="宋体" w:hAnsi="宋体"/>
          <w:sz w:val="21"/>
          <w:szCs w:val="21"/>
        </w:rPr>
        <w:t>质疑人对招标代理机构的答复不满意或者招标代理机构未在规定时间内答复的，可以在答复期满后十五个工作日内按有关规定，向</w:t>
      </w:r>
      <w:r>
        <w:rPr>
          <w:rFonts w:hint="eastAsia" w:ascii="宋体" w:hAnsi="宋体"/>
          <w:sz w:val="21"/>
          <w:szCs w:val="21"/>
        </w:rPr>
        <w:t>主管</w:t>
      </w:r>
      <w:r>
        <w:rPr>
          <w:rFonts w:ascii="宋体" w:hAnsi="宋体"/>
          <w:sz w:val="21"/>
          <w:szCs w:val="21"/>
        </w:rPr>
        <w:t>部门投诉。</w:t>
      </w:r>
    </w:p>
    <w:p>
      <w:pPr>
        <w:spacing w:line="360" w:lineRule="auto"/>
        <w:rPr>
          <w:rFonts w:ascii="宋体" w:hAnsi="宋体"/>
          <w:sz w:val="21"/>
          <w:szCs w:val="21"/>
        </w:rPr>
      </w:pPr>
      <w:r>
        <w:rPr>
          <w:rFonts w:hint="eastAsia" w:ascii="宋体" w:hAnsi="宋体"/>
          <w:sz w:val="21"/>
          <w:szCs w:val="21"/>
        </w:rPr>
        <w:t xml:space="preserve">   24.3磋商响应供应商未在上述规定的时间内提出质疑的,之后，其提出质疑将被拒绝。</w:t>
      </w:r>
    </w:p>
    <w:p>
      <w:pPr>
        <w:pStyle w:val="19"/>
        <w:widowControl/>
        <w:spacing w:before="75" w:after="75" w:line="400" w:lineRule="exact"/>
        <w:ind w:left="-181" w:right="-181"/>
        <w:jc w:val="center"/>
        <w:outlineLvl w:val="0"/>
        <w:rPr>
          <w:rStyle w:val="22"/>
          <w:rFonts w:ascii="宋体" w:hAnsi="宋体" w:cs="宋体"/>
          <w:sz w:val="36"/>
          <w:szCs w:val="36"/>
          <w:shd w:val="clear" w:color="auto" w:fill="FFFFFF"/>
        </w:rPr>
      </w:pPr>
      <w:r>
        <w:rPr>
          <w:rFonts w:ascii="宋体" w:hAnsi="宋体"/>
          <w:sz w:val="21"/>
          <w:szCs w:val="21"/>
        </w:rPr>
        <w:br w:type="page"/>
      </w:r>
      <w:bookmarkStart w:id="42" w:name="_Toc31055"/>
      <w:bookmarkStart w:id="43" w:name="_Toc16867"/>
      <w:r>
        <w:rPr>
          <w:rFonts w:hint="eastAsia"/>
          <w:b/>
          <w:bCs/>
          <w:kern w:val="44"/>
          <w:sz w:val="36"/>
          <w:szCs w:val="36"/>
        </w:rPr>
        <w:t>第三章  采购内容及要求</w:t>
      </w:r>
      <w:bookmarkEnd w:id="42"/>
    </w:p>
    <w:p>
      <w:pPr>
        <w:pStyle w:val="19"/>
        <w:widowControl/>
        <w:spacing w:before="75" w:after="75" w:line="400" w:lineRule="exact"/>
        <w:ind w:left="-181" w:right="-181"/>
        <w:jc w:val="center"/>
        <w:rPr>
          <w:rStyle w:val="22"/>
          <w:rFonts w:ascii="宋体" w:hAnsi="宋体" w:cs="宋体"/>
          <w:sz w:val="36"/>
          <w:szCs w:val="36"/>
          <w:shd w:val="clear" w:color="auto" w:fill="FFFFFF"/>
        </w:rPr>
      </w:pPr>
    </w:p>
    <w:p>
      <w:pPr>
        <w:pStyle w:val="7"/>
        <w:jc w:val="left"/>
        <w:rPr>
          <w:rFonts w:ascii="宋体" w:hAnsi="宋体" w:eastAsia="宋体"/>
          <w:sz w:val="24"/>
          <w:szCs w:val="24"/>
        </w:rPr>
      </w:pPr>
      <w:bookmarkStart w:id="44" w:name="_Toc11918"/>
      <w:r>
        <w:rPr>
          <w:rFonts w:hint="eastAsia" w:ascii="宋体" w:hAnsi="宋体" w:eastAsia="宋体"/>
          <w:sz w:val="24"/>
          <w:szCs w:val="24"/>
        </w:rPr>
        <w:t>一、</w:t>
      </w:r>
      <w:bookmarkStart w:id="45" w:name="_Toc11527"/>
      <w:bookmarkStart w:id="46" w:name="_Toc12130"/>
      <w:bookmarkStart w:id="47" w:name="_Toc28049"/>
      <w:r>
        <w:rPr>
          <w:rFonts w:hint="eastAsia" w:ascii="宋体" w:hAnsi="宋体" w:eastAsia="宋体"/>
          <w:sz w:val="24"/>
          <w:szCs w:val="24"/>
        </w:rPr>
        <w:t>项目概况</w:t>
      </w:r>
      <w:bookmarkEnd w:id="44"/>
      <w:bookmarkEnd w:id="45"/>
      <w:bookmarkEnd w:id="46"/>
      <w:bookmarkEnd w:id="47"/>
    </w:p>
    <w:p>
      <w:pPr>
        <w:pStyle w:val="19"/>
        <w:widowControl/>
        <w:spacing w:before="120" w:line="400" w:lineRule="exact"/>
        <w:ind w:left="-180" w:right="-180"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1、采购项目：消防设施维修更换</w:t>
      </w:r>
    </w:p>
    <w:p>
      <w:pPr>
        <w:pStyle w:val="19"/>
        <w:widowControl/>
        <w:spacing w:before="120" w:line="400" w:lineRule="exact"/>
        <w:ind w:left="-180" w:right="-180"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2、数   量：1批</w:t>
      </w:r>
    </w:p>
    <w:p>
      <w:pPr>
        <w:pStyle w:val="7"/>
        <w:jc w:val="left"/>
        <w:rPr>
          <w:rFonts w:ascii="宋体" w:hAnsi="宋体" w:eastAsia="宋体"/>
          <w:sz w:val="24"/>
          <w:szCs w:val="24"/>
        </w:rPr>
      </w:pPr>
      <w:bookmarkStart w:id="48" w:name="_Toc7162"/>
      <w:r>
        <w:rPr>
          <w:rFonts w:hint="eastAsia" w:ascii="宋体" w:hAnsi="宋体" w:eastAsia="宋体"/>
          <w:sz w:val="24"/>
          <w:szCs w:val="24"/>
        </w:rPr>
        <w:t>二、技术和服务要求</w:t>
      </w:r>
      <w:bookmarkEnd w:id="48"/>
    </w:p>
    <w:p>
      <w:pPr>
        <w:pStyle w:val="19"/>
        <w:widowControl/>
        <w:spacing w:before="75" w:after="75" w:line="400" w:lineRule="exact"/>
        <w:ind w:left="-180" w:right="-180"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1、本次采购范围：</w:t>
      </w:r>
    </w:p>
    <w:tbl>
      <w:tblPr>
        <w:tblStyle w:val="25"/>
        <w:tblW w:w="7977" w:type="dxa"/>
        <w:tblInd w:w="6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4337"/>
        <w:gridCol w:w="141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Align w:val="center"/>
          </w:tcPr>
          <w:p>
            <w:pPr>
              <w:pStyle w:val="19"/>
              <w:widowControl/>
              <w:spacing w:before="75" w:after="75" w:line="400" w:lineRule="exact"/>
              <w:ind w:right="-180"/>
              <w:jc w:val="center"/>
              <w:rPr>
                <w:rFonts w:ascii="宋体" w:hAnsi="宋体" w:cs="宋体"/>
                <w:b/>
                <w:bCs/>
                <w:sz w:val="21"/>
                <w:szCs w:val="21"/>
                <w:shd w:val="clear" w:color="auto" w:fill="FFFFFF"/>
              </w:rPr>
            </w:pPr>
            <w:r>
              <w:rPr>
                <w:rFonts w:hint="eastAsia" w:ascii="宋体" w:hAnsi="宋体" w:cs="宋体"/>
                <w:b/>
                <w:bCs/>
                <w:sz w:val="21"/>
                <w:szCs w:val="21"/>
                <w:shd w:val="clear" w:color="auto" w:fill="FFFFFF"/>
              </w:rPr>
              <w:t>序号</w:t>
            </w:r>
          </w:p>
        </w:tc>
        <w:tc>
          <w:tcPr>
            <w:tcW w:w="4337" w:type="dxa"/>
            <w:vAlign w:val="center"/>
          </w:tcPr>
          <w:p>
            <w:pPr>
              <w:pStyle w:val="19"/>
              <w:widowControl/>
              <w:spacing w:before="75" w:after="75" w:line="400" w:lineRule="exact"/>
              <w:ind w:right="-180"/>
              <w:jc w:val="center"/>
              <w:rPr>
                <w:rFonts w:ascii="宋体" w:hAnsi="宋体" w:cs="宋体"/>
                <w:b/>
                <w:bCs/>
                <w:sz w:val="21"/>
                <w:szCs w:val="21"/>
                <w:shd w:val="clear" w:color="auto" w:fill="FFFFFF"/>
              </w:rPr>
            </w:pPr>
            <w:r>
              <w:rPr>
                <w:rFonts w:hint="eastAsia" w:ascii="宋体" w:hAnsi="宋体" w:cs="宋体"/>
                <w:b/>
                <w:bCs/>
                <w:sz w:val="21"/>
                <w:szCs w:val="21"/>
                <w:shd w:val="clear" w:color="auto" w:fill="FFFFFF"/>
              </w:rPr>
              <w:t>项目名称/型号</w:t>
            </w:r>
          </w:p>
        </w:tc>
        <w:tc>
          <w:tcPr>
            <w:tcW w:w="1411" w:type="dxa"/>
            <w:vAlign w:val="center"/>
          </w:tcPr>
          <w:p>
            <w:pPr>
              <w:pStyle w:val="19"/>
              <w:widowControl/>
              <w:spacing w:before="75" w:after="75" w:line="400" w:lineRule="exact"/>
              <w:ind w:right="-180"/>
              <w:jc w:val="center"/>
              <w:rPr>
                <w:rFonts w:ascii="宋体" w:hAnsi="宋体" w:cs="宋体"/>
                <w:b/>
                <w:bCs/>
                <w:sz w:val="21"/>
                <w:szCs w:val="21"/>
                <w:shd w:val="clear" w:color="auto" w:fill="FFFFFF"/>
              </w:rPr>
            </w:pPr>
            <w:r>
              <w:rPr>
                <w:rFonts w:hint="eastAsia" w:ascii="宋体" w:hAnsi="宋体" w:cs="宋体"/>
                <w:b/>
                <w:bCs/>
                <w:sz w:val="21"/>
                <w:szCs w:val="21"/>
                <w:shd w:val="clear" w:color="auto" w:fill="FFFFFF"/>
              </w:rPr>
              <w:t>单位</w:t>
            </w:r>
          </w:p>
        </w:tc>
        <w:tc>
          <w:tcPr>
            <w:tcW w:w="1275" w:type="dxa"/>
            <w:vAlign w:val="center"/>
          </w:tcPr>
          <w:p>
            <w:pPr>
              <w:pStyle w:val="19"/>
              <w:widowControl/>
              <w:spacing w:before="75" w:after="75" w:line="400" w:lineRule="exact"/>
              <w:ind w:right="-180"/>
              <w:jc w:val="center"/>
              <w:rPr>
                <w:rFonts w:ascii="宋体" w:hAnsi="宋体" w:cs="宋体"/>
                <w:b/>
                <w:bCs/>
                <w:sz w:val="21"/>
                <w:szCs w:val="21"/>
                <w:shd w:val="clear" w:color="auto" w:fill="FFFFFF"/>
              </w:rPr>
            </w:pPr>
            <w:r>
              <w:rPr>
                <w:rFonts w:hint="eastAsia" w:ascii="宋体" w:hAnsi="宋体" w:cs="宋体"/>
                <w:b/>
                <w:bCs/>
                <w:sz w:val="21"/>
                <w:szCs w:val="21"/>
                <w:shd w:val="clear" w:color="auto" w:fill="FFFFFF"/>
              </w:rPr>
              <w:t>数量</w:t>
            </w:r>
          </w:p>
        </w:tc>
      </w:tr>
      <w:tr>
        <w:tblPrEx>
          <w:tblLayout w:type="fixed"/>
          <w:tblCellMar>
            <w:top w:w="0" w:type="dxa"/>
            <w:left w:w="108" w:type="dxa"/>
            <w:bottom w:w="0" w:type="dxa"/>
            <w:right w:w="108" w:type="dxa"/>
          </w:tblCellMar>
        </w:tblPrEx>
        <w:tc>
          <w:tcPr>
            <w:tcW w:w="7977" w:type="dxa"/>
            <w:gridSpan w:val="4"/>
          </w:tcPr>
          <w:p>
            <w:pPr>
              <w:pStyle w:val="19"/>
              <w:widowControl/>
              <w:spacing w:before="75" w:after="75" w:line="400" w:lineRule="exact"/>
              <w:ind w:right="-180"/>
              <w:rPr>
                <w:rFonts w:ascii="宋体" w:hAnsi="宋体" w:cs="宋体"/>
                <w:sz w:val="21"/>
                <w:szCs w:val="21"/>
                <w:shd w:val="clear" w:color="auto" w:fill="FFFFFF"/>
              </w:rPr>
            </w:pPr>
            <w:r>
              <w:rPr>
                <w:rFonts w:hint="eastAsia" w:ascii="宋体" w:hAnsi="宋体" w:cs="宋体"/>
                <w:sz w:val="21"/>
                <w:szCs w:val="21"/>
                <w:shd w:val="clear" w:color="auto" w:fill="FFFFFF"/>
              </w:rPr>
              <w:t>1、报警设备更新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1</w:t>
            </w:r>
          </w:p>
        </w:tc>
        <w:tc>
          <w:tcPr>
            <w:tcW w:w="4337" w:type="dxa"/>
          </w:tcPr>
          <w:p>
            <w:pPr>
              <w:pStyle w:val="19"/>
              <w:widowControl/>
              <w:spacing w:before="75" w:after="75" w:line="400" w:lineRule="exact"/>
              <w:ind w:right="-180"/>
              <w:rPr>
                <w:rFonts w:ascii="宋体" w:hAnsi="宋体" w:cs="宋体"/>
                <w:sz w:val="21"/>
                <w:szCs w:val="21"/>
                <w:shd w:val="clear" w:color="auto" w:fill="FFFFFF"/>
              </w:rPr>
            </w:pPr>
            <w:r>
              <w:rPr>
                <w:rFonts w:hint="eastAsia" w:ascii="宋体" w:hAnsi="宋体" w:cs="宋体"/>
                <w:sz w:val="21"/>
                <w:szCs w:val="21"/>
                <w:shd w:val="clear" w:color="auto" w:fill="FFFFFF"/>
              </w:rPr>
              <w:t>更换点型烟感探测器JTY-GD-3002D</w:t>
            </w:r>
          </w:p>
        </w:tc>
        <w:tc>
          <w:tcPr>
            <w:tcW w:w="1411"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套</w:t>
            </w:r>
          </w:p>
        </w:tc>
        <w:tc>
          <w:tcPr>
            <w:tcW w:w="1275"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2</w:t>
            </w:r>
          </w:p>
        </w:tc>
        <w:tc>
          <w:tcPr>
            <w:tcW w:w="4337" w:type="dxa"/>
          </w:tcPr>
          <w:p>
            <w:pPr>
              <w:pStyle w:val="19"/>
              <w:widowControl/>
              <w:spacing w:before="75" w:after="75" w:line="400" w:lineRule="exact"/>
              <w:ind w:right="-180"/>
              <w:rPr>
                <w:rFonts w:ascii="宋体" w:hAnsi="宋体" w:cs="宋体"/>
                <w:sz w:val="21"/>
                <w:szCs w:val="21"/>
                <w:shd w:val="clear" w:color="auto" w:fill="FFFFFF"/>
              </w:rPr>
            </w:pPr>
            <w:r>
              <w:rPr>
                <w:rFonts w:hint="eastAsia" w:ascii="宋体" w:hAnsi="宋体" w:cs="宋体"/>
                <w:sz w:val="21"/>
                <w:szCs w:val="21"/>
                <w:shd w:val="clear" w:color="auto" w:fill="FFFFFF"/>
              </w:rPr>
              <w:t>更换点型温感探测器JTW-BCD-3005A</w:t>
            </w:r>
          </w:p>
        </w:tc>
        <w:tc>
          <w:tcPr>
            <w:tcW w:w="1411"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套</w:t>
            </w:r>
          </w:p>
        </w:tc>
        <w:tc>
          <w:tcPr>
            <w:tcW w:w="1275"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77" w:type="dxa"/>
            <w:gridSpan w:val="4"/>
          </w:tcPr>
          <w:p>
            <w:pPr>
              <w:pStyle w:val="19"/>
              <w:widowControl/>
              <w:spacing w:before="75" w:after="75" w:line="400" w:lineRule="exact"/>
              <w:ind w:right="-180"/>
              <w:rPr>
                <w:rFonts w:ascii="宋体" w:hAnsi="宋体" w:cs="宋体"/>
                <w:sz w:val="21"/>
                <w:szCs w:val="21"/>
                <w:shd w:val="clear" w:color="auto" w:fill="FFFFFF"/>
              </w:rPr>
            </w:pPr>
            <w:r>
              <w:rPr>
                <w:rFonts w:hint="eastAsia" w:ascii="宋体" w:hAnsi="宋体" w:cs="宋体"/>
                <w:sz w:val="21"/>
                <w:szCs w:val="21"/>
                <w:shd w:val="clear" w:color="auto" w:fill="FFFFFF"/>
              </w:rPr>
              <w:t>2、消防系统维护保养项目外部配件维修、更换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1</w:t>
            </w:r>
          </w:p>
        </w:tc>
        <w:tc>
          <w:tcPr>
            <w:tcW w:w="4337" w:type="dxa"/>
          </w:tcPr>
          <w:p>
            <w:pPr>
              <w:pStyle w:val="19"/>
              <w:widowControl/>
              <w:spacing w:before="75" w:after="75" w:line="400" w:lineRule="exact"/>
              <w:ind w:right="-180"/>
              <w:rPr>
                <w:rFonts w:ascii="宋体" w:hAnsi="宋体" w:cs="宋体"/>
                <w:sz w:val="21"/>
                <w:szCs w:val="21"/>
                <w:shd w:val="clear" w:color="auto" w:fill="FFFFFF"/>
              </w:rPr>
            </w:pPr>
            <w:r>
              <w:rPr>
                <w:rFonts w:hint="eastAsia" w:ascii="宋体" w:hAnsi="宋体" w:cs="宋体"/>
                <w:sz w:val="21"/>
                <w:szCs w:val="21"/>
                <w:shd w:val="clear" w:color="auto" w:fill="FFFFFF"/>
              </w:rPr>
              <w:t>离心式消化栓泵75KW拆除</w:t>
            </w:r>
          </w:p>
        </w:tc>
        <w:tc>
          <w:tcPr>
            <w:tcW w:w="1411"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项</w:t>
            </w:r>
          </w:p>
        </w:tc>
        <w:tc>
          <w:tcPr>
            <w:tcW w:w="1275"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2</w:t>
            </w:r>
          </w:p>
        </w:tc>
        <w:tc>
          <w:tcPr>
            <w:tcW w:w="4337" w:type="dxa"/>
          </w:tcPr>
          <w:p>
            <w:pPr>
              <w:pStyle w:val="19"/>
              <w:widowControl/>
              <w:spacing w:before="75" w:after="75" w:line="400" w:lineRule="exact"/>
              <w:ind w:right="-180"/>
              <w:rPr>
                <w:rFonts w:ascii="宋体" w:hAnsi="宋体" w:cs="宋体"/>
                <w:sz w:val="21"/>
                <w:szCs w:val="21"/>
                <w:shd w:val="clear" w:color="auto" w:fill="FFFFFF"/>
              </w:rPr>
            </w:pPr>
            <w:r>
              <w:rPr>
                <w:rFonts w:hint="eastAsia" w:ascii="宋体" w:hAnsi="宋体" w:cs="宋体"/>
                <w:sz w:val="21"/>
                <w:szCs w:val="21"/>
                <w:shd w:val="clear" w:color="auto" w:fill="FFFFFF"/>
              </w:rPr>
              <w:t>新离心式消化栓泵安装（Q=0-40L/S,H=105m，N=75KW）</w:t>
            </w:r>
          </w:p>
        </w:tc>
        <w:tc>
          <w:tcPr>
            <w:tcW w:w="1411"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台</w:t>
            </w:r>
          </w:p>
        </w:tc>
        <w:tc>
          <w:tcPr>
            <w:tcW w:w="1275"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3</w:t>
            </w:r>
          </w:p>
        </w:tc>
        <w:tc>
          <w:tcPr>
            <w:tcW w:w="4337" w:type="dxa"/>
          </w:tcPr>
          <w:p>
            <w:pPr>
              <w:pStyle w:val="19"/>
              <w:widowControl/>
              <w:spacing w:before="75" w:after="75" w:line="400" w:lineRule="exact"/>
              <w:ind w:right="-180"/>
              <w:rPr>
                <w:rFonts w:ascii="宋体" w:hAnsi="宋体" w:cs="宋体"/>
                <w:sz w:val="21"/>
                <w:szCs w:val="21"/>
                <w:shd w:val="clear" w:color="auto" w:fill="FFFFFF"/>
              </w:rPr>
            </w:pPr>
            <w:r>
              <w:rPr>
                <w:rFonts w:hint="eastAsia" w:ascii="宋体" w:hAnsi="宋体" w:cs="宋体"/>
                <w:sz w:val="21"/>
                <w:szCs w:val="21"/>
                <w:shd w:val="clear" w:color="auto" w:fill="FFFFFF"/>
              </w:rPr>
              <w:t>卡箍更换</w:t>
            </w:r>
          </w:p>
        </w:tc>
        <w:tc>
          <w:tcPr>
            <w:tcW w:w="1411"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套</w:t>
            </w:r>
          </w:p>
        </w:tc>
        <w:tc>
          <w:tcPr>
            <w:tcW w:w="1275"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4</w:t>
            </w:r>
          </w:p>
        </w:tc>
        <w:tc>
          <w:tcPr>
            <w:tcW w:w="4337" w:type="dxa"/>
          </w:tcPr>
          <w:p>
            <w:pPr>
              <w:pStyle w:val="19"/>
              <w:widowControl/>
              <w:spacing w:before="75" w:after="75" w:line="400" w:lineRule="exact"/>
              <w:ind w:right="-180"/>
              <w:rPr>
                <w:rFonts w:ascii="宋体" w:hAnsi="宋体" w:cs="宋体"/>
                <w:sz w:val="21"/>
                <w:szCs w:val="21"/>
                <w:shd w:val="clear" w:color="auto" w:fill="FFFFFF"/>
              </w:rPr>
            </w:pPr>
            <w:r>
              <w:rPr>
                <w:rFonts w:hint="eastAsia" w:ascii="宋体" w:hAnsi="宋体" w:cs="宋体"/>
                <w:sz w:val="21"/>
                <w:szCs w:val="21"/>
                <w:shd w:val="clear" w:color="auto" w:fill="FFFFFF"/>
              </w:rPr>
              <w:t>大小头更换</w:t>
            </w:r>
          </w:p>
        </w:tc>
        <w:tc>
          <w:tcPr>
            <w:tcW w:w="1411" w:type="dxa"/>
            <w:vAlign w:val="center"/>
          </w:tcPr>
          <w:p>
            <w:pPr>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项</w:t>
            </w:r>
          </w:p>
        </w:tc>
        <w:tc>
          <w:tcPr>
            <w:tcW w:w="1275"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5</w:t>
            </w:r>
          </w:p>
        </w:tc>
        <w:tc>
          <w:tcPr>
            <w:tcW w:w="4337" w:type="dxa"/>
          </w:tcPr>
          <w:p>
            <w:pPr>
              <w:pStyle w:val="19"/>
              <w:widowControl/>
              <w:spacing w:before="75" w:after="75" w:line="400" w:lineRule="exact"/>
              <w:ind w:right="-180"/>
              <w:rPr>
                <w:rFonts w:ascii="宋体" w:hAnsi="宋体" w:cs="宋体"/>
                <w:sz w:val="21"/>
                <w:szCs w:val="21"/>
                <w:shd w:val="clear" w:color="auto" w:fill="FFFFFF"/>
              </w:rPr>
            </w:pPr>
            <w:r>
              <w:rPr>
                <w:rFonts w:hint="eastAsia" w:ascii="宋体" w:hAnsi="宋体" w:cs="宋体"/>
                <w:sz w:val="21"/>
                <w:szCs w:val="21"/>
                <w:shd w:val="clear" w:color="auto" w:fill="FFFFFF"/>
              </w:rPr>
              <w:t>弯头更换</w:t>
            </w:r>
          </w:p>
        </w:tc>
        <w:tc>
          <w:tcPr>
            <w:tcW w:w="1411" w:type="dxa"/>
            <w:vAlign w:val="center"/>
          </w:tcPr>
          <w:p>
            <w:pPr>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项</w:t>
            </w:r>
          </w:p>
        </w:tc>
        <w:tc>
          <w:tcPr>
            <w:tcW w:w="1275" w:type="dxa"/>
            <w:vAlign w:val="center"/>
          </w:tcPr>
          <w:p>
            <w:pPr>
              <w:pStyle w:val="19"/>
              <w:widowControl/>
              <w:spacing w:before="75" w:after="75" w:line="400" w:lineRule="exact"/>
              <w:ind w:right="-180"/>
              <w:jc w:val="center"/>
              <w:rPr>
                <w:rFonts w:ascii="宋体" w:hAnsi="宋体" w:cs="宋体"/>
                <w:sz w:val="21"/>
                <w:szCs w:val="21"/>
                <w:shd w:val="clear" w:color="auto" w:fill="FFFFFF"/>
              </w:rPr>
            </w:pPr>
            <w:r>
              <w:rPr>
                <w:rFonts w:hint="eastAsia" w:ascii="宋体" w:hAnsi="宋体" w:cs="宋体"/>
                <w:sz w:val="21"/>
                <w:szCs w:val="21"/>
                <w:shd w:val="clear" w:color="auto" w:fill="FFFFFF"/>
              </w:rPr>
              <w:t>1</w:t>
            </w:r>
          </w:p>
        </w:tc>
      </w:tr>
    </w:tbl>
    <w:p>
      <w:pPr>
        <w:pStyle w:val="19"/>
        <w:widowControl/>
        <w:spacing w:before="75" w:after="75" w:line="400" w:lineRule="exact"/>
        <w:ind w:right="-180"/>
        <w:rPr>
          <w:rFonts w:ascii="宋体" w:hAnsi="宋体" w:cs="宋体"/>
          <w:sz w:val="21"/>
          <w:szCs w:val="21"/>
          <w:shd w:val="clear" w:color="auto" w:fill="FFFFFF"/>
        </w:rPr>
      </w:pPr>
    </w:p>
    <w:p>
      <w:pPr>
        <w:pStyle w:val="19"/>
        <w:widowControl/>
        <w:spacing w:before="75" w:after="75" w:line="400" w:lineRule="exact"/>
        <w:ind w:left="-180" w:right="-180"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本项目禁止转包，未经采购人同意不得分包。</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2、本项目为整体采购，供应商负责全部产品的制造、运输、安装、调试、售后服务等。采购人不接受有选择性的磋商响应方案和报价。</w:t>
      </w:r>
    </w:p>
    <w:p>
      <w:pPr>
        <w:pStyle w:val="19"/>
        <w:widowControl/>
        <w:spacing w:before="75" w:after="75" w:line="400" w:lineRule="exact"/>
        <w:ind w:left="-180" w:right="-180"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3、供应商提供的产品制造标准、安装标准及技术规范等必须符合国家相关标准或规范要求。</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4、本项目所需辅材，如采购文件无具体要求的，由供应商根据技术方案要求和现场情况提供，实际使用数量与供应商的响应数量不符时不对合同总价产生变更。</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5、供应商的产品选型、所响应的技术方案应能全面适应（或超出）采购要求,不得降低采购产品的技术标准和档次,且需列出详细技术参数偏离表。</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6、供应商必须详细说明响应产品的品牌、产地、生产厂家、详细技术指标等，任何由于含糊不清的表示造成对结果的影响均由供应商负责。</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7、供应商应提供所响应产品的彩图并加盖公章，产品彩图必须与所响应产品保持一致，并对彩图与所响应产品的符合性负责。</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8、供应商所提供的方案或产品必须是自身设计的或通过正当合法来源获得的，并对之拥有可以依法出卖或交易的相应“物权”；任何有关产品或方案的所有权、知识产权或担保物权可能提出的异议或有关索赔责任或费用，均由供应商自行承担。</w:t>
      </w:r>
    </w:p>
    <w:p>
      <w:pPr>
        <w:pStyle w:val="19"/>
        <w:widowControl/>
        <w:spacing w:before="75" w:after="75" w:line="400" w:lineRule="exact"/>
        <w:ind w:left="-180" w:right="-180"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9、供应商应在磋商响应文件中承诺所响应产品为环保、无毒、安全、符合消防相关规定的产品。</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10、供应商应依据采购文件要求及磋商响应文件所作承诺履行职责，如有违约，采购人有权根据协议、合同采取措施保证本次采购货物的顺利进行，并相应追究违约方的违约责任。</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11、供应商必须在磋商响应文件中详细说明其供货方案、安装方案、售后服务承诺和电话、传真等，并提供企业主要工作人员的联系方式。</w:t>
      </w:r>
    </w:p>
    <w:p>
      <w:pPr>
        <w:pStyle w:val="19"/>
        <w:widowControl/>
        <w:spacing w:before="75" w:after="75" w:line="400" w:lineRule="exact"/>
        <w:ind w:left="238" w:leftChars="85" w:right="-180" w:firstLine="210" w:firstLineChars="100"/>
        <w:rPr>
          <w:rFonts w:ascii="宋体" w:hAnsi="宋体" w:cs="宋体"/>
          <w:sz w:val="21"/>
          <w:szCs w:val="21"/>
          <w:shd w:val="clear" w:color="auto" w:fill="FFFFFF"/>
        </w:rPr>
      </w:pPr>
      <w:r>
        <w:rPr>
          <w:rFonts w:hint="eastAsia" w:ascii="宋体" w:hAnsi="宋体" w:cs="宋体"/>
          <w:sz w:val="21"/>
          <w:szCs w:val="21"/>
          <w:shd w:val="clear" w:color="auto" w:fill="FFFFFF"/>
        </w:rPr>
        <w:t>11.1、供应商应提供其参与本项目供货、安装、售后及技术支持的人员名单，应将相关文件包含在磋商响应文件中。</w:t>
      </w:r>
    </w:p>
    <w:p>
      <w:pPr>
        <w:pStyle w:val="19"/>
        <w:widowControl/>
        <w:spacing w:before="75" w:after="75" w:line="400" w:lineRule="exact"/>
        <w:ind w:left="-180" w:right="-180" w:firstLine="630" w:firstLineChars="300"/>
        <w:rPr>
          <w:rFonts w:ascii="宋体" w:hAnsi="宋体" w:cs="宋体"/>
          <w:sz w:val="21"/>
          <w:szCs w:val="21"/>
          <w:shd w:val="clear" w:color="auto" w:fill="FFFFFF"/>
        </w:rPr>
      </w:pPr>
      <w:r>
        <w:rPr>
          <w:rFonts w:hint="eastAsia" w:ascii="宋体" w:hAnsi="宋体" w:cs="宋体"/>
          <w:sz w:val="21"/>
          <w:szCs w:val="21"/>
          <w:shd w:val="clear" w:color="auto" w:fill="FFFFFF"/>
        </w:rPr>
        <w:t>11.2、供应商应响应售后服务要求并在磋商响应文件中提供详细具体的服务条款及保证。</w:t>
      </w:r>
    </w:p>
    <w:p>
      <w:pPr>
        <w:pStyle w:val="19"/>
        <w:widowControl/>
        <w:spacing w:before="75" w:after="75" w:line="400" w:lineRule="exact"/>
        <w:ind w:left="-180" w:right="-180"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12、供应商认为有利于采购人的其它优惠条款应单独列明。</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13、磋商文件中若有要求提供证书、证明、检测报告等文件复印件的应加盖供应商公章（原件备查），相关文件应在有效期内。</w:t>
      </w:r>
    </w:p>
    <w:p>
      <w:pPr>
        <w:pStyle w:val="7"/>
        <w:jc w:val="left"/>
        <w:rPr>
          <w:rFonts w:ascii="宋体" w:hAnsi="宋体" w:eastAsia="宋体"/>
          <w:sz w:val="24"/>
          <w:szCs w:val="24"/>
        </w:rPr>
      </w:pPr>
      <w:bookmarkStart w:id="49" w:name="_Toc30250"/>
      <w:r>
        <w:rPr>
          <w:rFonts w:hint="eastAsia" w:ascii="宋体" w:hAnsi="宋体" w:eastAsia="宋体"/>
          <w:sz w:val="24"/>
          <w:szCs w:val="24"/>
        </w:rPr>
        <w:t>三、</w:t>
      </w:r>
      <w:r>
        <w:rPr>
          <w:rFonts w:hint="eastAsia" w:ascii="宋体" w:hAnsi="宋体" w:eastAsia="宋体" w:cs="宋体"/>
          <w:sz w:val="24"/>
          <w:szCs w:val="24"/>
        </w:rPr>
        <w:t>报价及验收要求</w:t>
      </w:r>
      <w:bookmarkEnd w:id="49"/>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1、总报价为项目经采购人验收合格并交付使用所有可能发生的费用。本次采购为一个合同包，所报价格必须包括全部货物、袋装、邮递、运输到采购人指定地点、调试、验收等所有可能产生的费用。供应商漏报的单价或没单价报价中漏报、少报的费用，视为此项费用已隐含在响应报价中，成交后不得向采购人收取任何费用。</w:t>
      </w:r>
    </w:p>
    <w:p>
      <w:pPr>
        <w:pStyle w:val="19"/>
        <w:widowControl/>
        <w:spacing w:before="75" w:after="75" w:line="400" w:lineRule="exact"/>
        <w:ind w:left="-180" w:right="-180"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2、报价以人民币为货币单位，应分单价、小计和总价。</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3、供应商单价报价中漏报、少报的费用，视为此项费用已隐含在磋商响应报价中，成交后不得再向采购人收取任何费用。</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4、本磋商文件、磋商响应文件、合同、货物技术标准说明及国家有关的质量规范、标准规定，均为本项目的验收依据。</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5、本次项目交付验收使用时必须由采购人和相关验收部门或单位按本磋商文件、磋商响应文件及所签订的合同要求共同验收。</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6、成交供应商在供货、安装调试及验收过程中若有出现安全事故，其责任及相应的赔偿均由成交供应商自行承担，采购人不承担任何责任及义务。</w:t>
      </w:r>
    </w:p>
    <w:p>
      <w:pPr>
        <w:pStyle w:val="19"/>
        <w:widowControl/>
        <w:spacing w:before="75" w:after="75" w:line="400" w:lineRule="exact"/>
        <w:ind w:left="-180" w:right="-180"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7、验收要点：</w:t>
      </w:r>
    </w:p>
    <w:p>
      <w:pPr>
        <w:pStyle w:val="19"/>
        <w:widowControl/>
        <w:spacing w:before="75" w:after="75" w:line="400" w:lineRule="exact"/>
        <w:ind w:left="238" w:leftChars="85" w:right="-180"/>
        <w:rPr>
          <w:rFonts w:ascii="宋体" w:hAnsi="宋体" w:cs="宋体"/>
          <w:sz w:val="21"/>
          <w:szCs w:val="21"/>
          <w:shd w:val="clear" w:color="auto" w:fill="FFFFFF"/>
        </w:rPr>
      </w:pPr>
      <w:r>
        <w:rPr>
          <w:rFonts w:hint="eastAsia" w:ascii="宋体" w:hAnsi="宋体" w:cs="宋体"/>
          <w:sz w:val="21"/>
          <w:szCs w:val="21"/>
          <w:shd w:val="clear" w:color="auto" w:fill="FFFFFF"/>
        </w:rPr>
        <w:t>成交供应商在签订合同之后，按照合同以及采购人需求，在规定的时间内交货，经采购人等相关人员验收合格，验收标准为招标文件、响应文件、双方签订的合同以及国家相关法律法规等。</w:t>
      </w:r>
    </w:p>
    <w:p>
      <w:pPr>
        <w:pStyle w:val="7"/>
        <w:spacing w:line="360" w:lineRule="auto"/>
        <w:jc w:val="left"/>
        <w:rPr>
          <w:rFonts w:ascii="宋体" w:hAnsi="宋体" w:eastAsia="宋体" w:cs="宋体"/>
          <w:sz w:val="24"/>
          <w:szCs w:val="24"/>
        </w:rPr>
      </w:pPr>
      <w:bookmarkStart w:id="50" w:name="_Toc25201"/>
      <w:bookmarkStart w:id="51" w:name="_Toc31278"/>
      <w:r>
        <w:rPr>
          <w:rFonts w:hint="eastAsia" w:ascii="宋体" w:hAnsi="宋体" w:eastAsia="宋体" w:cs="宋体"/>
          <w:sz w:val="24"/>
          <w:szCs w:val="24"/>
        </w:rPr>
        <w:t>四、交货</w:t>
      </w:r>
      <w:bookmarkEnd w:id="50"/>
      <w:bookmarkEnd w:id="51"/>
    </w:p>
    <w:p>
      <w:pPr>
        <w:pStyle w:val="19"/>
        <w:widowControl/>
        <w:spacing w:before="75" w:after="75" w:line="400" w:lineRule="exact"/>
        <w:ind w:right="-180" w:firstLine="210" w:firstLineChars="100"/>
        <w:rPr>
          <w:rFonts w:ascii="宋体" w:hAnsi="宋体" w:cs="宋体"/>
          <w:sz w:val="21"/>
          <w:szCs w:val="21"/>
          <w:shd w:val="clear" w:color="auto" w:fill="FFFFFF"/>
        </w:rPr>
      </w:pPr>
      <w:r>
        <w:rPr>
          <w:rFonts w:hint="eastAsia" w:ascii="宋体" w:hAnsi="宋体" w:cs="宋体"/>
          <w:sz w:val="21"/>
          <w:szCs w:val="21"/>
          <w:shd w:val="clear" w:color="auto" w:fill="FFFFFF"/>
        </w:rPr>
        <w:t>按照采购人指定的交货时间进行交货，合同签订之日起30天内交货，具体参看双方签订的采购合同。</w:t>
      </w:r>
    </w:p>
    <w:p>
      <w:pPr>
        <w:pStyle w:val="19"/>
        <w:widowControl/>
        <w:spacing w:before="75" w:after="75" w:line="400" w:lineRule="exact"/>
        <w:ind w:left="210" w:leftChars="75" w:right="-180"/>
        <w:rPr>
          <w:rFonts w:ascii="宋体" w:hAnsi="宋体"/>
        </w:rPr>
      </w:pPr>
      <w:r>
        <w:rPr>
          <w:rFonts w:hint="eastAsia" w:ascii="宋体" w:hAnsi="宋体" w:cs="宋体"/>
          <w:sz w:val="21"/>
          <w:szCs w:val="21"/>
          <w:shd w:val="clear" w:color="auto" w:fill="FFFFFF"/>
        </w:rPr>
        <w:t>在项目实施过程中及售后服务期内，项目供应商需承诺并列明指定专人负责与用户保持长期的联系与服务。</w:t>
      </w:r>
    </w:p>
    <w:p>
      <w:pPr>
        <w:pStyle w:val="7"/>
        <w:spacing w:line="360" w:lineRule="auto"/>
        <w:jc w:val="left"/>
        <w:rPr>
          <w:rFonts w:ascii="宋体" w:hAnsi="宋体" w:eastAsia="宋体" w:cs="宋体"/>
          <w:sz w:val="24"/>
          <w:szCs w:val="24"/>
        </w:rPr>
      </w:pPr>
      <w:bookmarkStart w:id="52" w:name="_Toc1872"/>
      <w:bookmarkStart w:id="53" w:name="_Toc18053"/>
      <w:r>
        <w:rPr>
          <w:rFonts w:hint="eastAsia" w:ascii="宋体" w:hAnsi="宋体" w:eastAsia="宋体" w:cs="宋体"/>
          <w:sz w:val="24"/>
          <w:szCs w:val="24"/>
        </w:rPr>
        <w:t>五、合同签订</w:t>
      </w:r>
      <w:bookmarkEnd w:id="52"/>
      <w:bookmarkEnd w:id="53"/>
    </w:p>
    <w:p>
      <w:pPr>
        <w:spacing w:line="360" w:lineRule="auto"/>
        <w:ind w:left="210" w:leftChars="75" w:firstLine="420" w:firstLineChars="200"/>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成交供应商接到《成交通知书》后两日内，持《成交通知书》与采购人联系签订合同等相关事宜，招标文件条款、成交供应商的磋商响应文件内容均为合同签订的基础。成交供应商应在合同签订后的一个工作日内将合同副本送采购代理机构备案。若因成交供应商自身原因导致不能完成合同签订手续的，采购人将没收磋商响应保证金。</w:t>
      </w:r>
    </w:p>
    <w:p>
      <w:pPr>
        <w:pStyle w:val="7"/>
        <w:spacing w:line="360" w:lineRule="auto"/>
        <w:jc w:val="left"/>
        <w:rPr>
          <w:rFonts w:ascii="宋体" w:hAnsi="宋体" w:eastAsia="宋体" w:cs="宋体"/>
          <w:sz w:val="24"/>
          <w:szCs w:val="24"/>
        </w:rPr>
      </w:pPr>
      <w:bookmarkStart w:id="54" w:name="_Toc386553617"/>
      <w:bookmarkStart w:id="55" w:name="_Toc26591"/>
      <w:bookmarkStart w:id="56" w:name="_Toc4925"/>
      <w:bookmarkStart w:id="57" w:name="_Toc422906627"/>
      <w:bookmarkStart w:id="58" w:name="_Toc466482713"/>
      <w:bookmarkStart w:id="59" w:name="_Toc3015"/>
      <w:r>
        <w:rPr>
          <w:rFonts w:hint="eastAsia" w:ascii="宋体" w:hAnsi="宋体" w:eastAsia="宋体" w:cs="宋体"/>
          <w:sz w:val="24"/>
          <w:szCs w:val="24"/>
        </w:rPr>
        <w:t>六、付款方式</w:t>
      </w:r>
      <w:bookmarkEnd w:id="54"/>
      <w:bookmarkEnd w:id="55"/>
      <w:bookmarkEnd w:id="56"/>
      <w:bookmarkEnd w:id="57"/>
      <w:bookmarkEnd w:id="58"/>
      <w:bookmarkEnd w:id="59"/>
    </w:p>
    <w:p>
      <w:pPr>
        <w:spacing w:line="360" w:lineRule="auto"/>
        <w:ind w:left="210" w:leftChars="75" w:firstLine="420" w:firstLineChars="200"/>
        <w:rPr>
          <w:rFonts w:ascii="宋体" w:hAnsi="宋体" w:cs="宋体"/>
          <w:kern w:val="0"/>
          <w:sz w:val="21"/>
          <w:szCs w:val="21"/>
          <w:shd w:val="clear" w:color="auto" w:fill="FFFFFF"/>
        </w:rPr>
      </w:pPr>
      <w:bookmarkStart w:id="60" w:name="_Toc466482714"/>
      <w:r>
        <w:rPr>
          <w:rFonts w:hint="eastAsia" w:ascii="宋体" w:hAnsi="宋体" w:cs="宋体"/>
          <w:kern w:val="0"/>
          <w:sz w:val="21"/>
          <w:szCs w:val="21"/>
          <w:shd w:val="clear" w:color="auto" w:fill="FFFFFF"/>
        </w:rPr>
        <w:t>货到付款</w:t>
      </w:r>
      <w:bookmarkEnd w:id="60"/>
      <w:r>
        <w:rPr>
          <w:rFonts w:hint="eastAsia" w:ascii="宋体" w:hAnsi="宋体" w:cs="宋体"/>
          <w:kern w:val="0"/>
          <w:sz w:val="21"/>
          <w:szCs w:val="21"/>
          <w:shd w:val="clear" w:color="auto" w:fill="FFFFFF"/>
        </w:rPr>
        <w:t>。由成交供应商先行向采购人指定账户转入成交价的5%作为质量保证金，全部货物交货并经验收合格后，采购人凭收讫货物的验收凭证和货物验收合格文件、质保金缴交凭证等材料以 转账方式向成交供应商一次性支付100%的货物价款。质保期过后，无质量问题由乙方申请，采购人无息退还质保金。质保期为3年，3年内，非人为损坏，免费维修，3年内免费更换零件。具体事项由采购人与成交供应商在签订合同中具体约定。</w:t>
      </w:r>
    </w:p>
    <w:p>
      <w:pPr>
        <w:pStyle w:val="7"/>
        <w:spacing w:line="360" w:lineRule="auto"/>
        <w:jc w:val="left"/>
        <w:rPr>
          <w:rFonts w:ascii="宋体" w:hAnsi="宋体" w:eastAsia="宋体" w:cs="宋体"/>
          <w:sz w:val="24"/>
          <w:szCs w:val="24"/>
        </w:rPr>
      </w:pPr>
      <w:bookmarkStart w:id="61" w:name="_Toc22337"/>
      <w:bookmarkStart w:id="62" w:name="_Toc10025"/>
      <w:r>
        <w:rPr>
          <w:rFonts w:hint="eastAsia" w:ascii="宋体" w:hAnsi="宋体" w:eastAsia="宋体" w:cs="宋体"/>
          <w:sz w:val="24"/>
          <w:szCs w:val="24"/>
        </w:rPr>
        <w:t>七、售后服务</w:t>
      </w:r>
      <w:bookmarkEnd w:id="61"/>
      <w:bookmarkEnd w:id="62"/>
    </w:p>
    <w:p>
      <w:pPr>
        <w:spacing w:line="360" w:lineRule="auto"/>
        <w:ind w:firstLine="210" w:firstLineChars="100"/>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1、成交供应商应负责设备的安装调试工作。</w:t>
      </w:r>
    </w:p>
    <w:p>
      <w:pPr>
        <w:spacing w:line="360" w:lineRule="auto"/>
        <w:ind w:left="210" w:leftChars="75"/>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2、自验收合格之日起，设备质保期为3年，终身维保。质保期间，成交供应商必须提供一切免费服务（包括免费上门服务、一年内免费更换零件，之后免手工费只需支付零配件费等）。若在设备维护期间发生故障，成交供应商必须2小时内响应，8工作小时内上门服务（非工作时间故障报修响应维修时间为24小时内），负责在现场对设备使用人员进行设备安装、操作、使用、维护、结构原理等方面的培训，并承担由此产生的一切费用。</w:t>
      </w:r>
    </w:p>
    <w:p>
      <w:pPr>
        <w:spacing w:line="360" w:lineRule="auto"/>
        <w:ind w:firstLine="210" w:firstLineChars="100"/>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3、供应商应在报价中详细写明质保期满后维修所需的各项费用价格。</w:t>
      </w:r>
    </w:p>
    <w:p>
      <w:pPr>
        <w:pStyle w:val="7"/>
        <w:spacing w:line="360" w:lineRule="auto"/>
        <w:rPr>
          <w:rFonts w:ascii="宋体" w:hAnsi="宋体" w:eastAsia="宋体" w:cs="宋体"/>
          <w:sz w:val="24"/>
          <w:szCs w:val="24"/>
        </w:rPr>
      </w:pPr>
      <w:bookmarkStart w:id="63" w:name="_Toc3677"/>
      <w:bookmarkStart w:id="64" w:name="_Toc6939"/>
      <w:r>
        <w:rPr>
          <w:rFonts w:hint="eastAsia" w:ascii="宋体" w:hAnsi="宋体" w:eastAsia="宋体" w:cs="宋体"/>
          <w:sz w:val="24"/>
          <w:szCs w:val="24"/>
        </w:rPr>
        <w:t>八、验收标准</w:t>
      </w:r>
      <w:bookmarkEnd w:id="63"/>
      <w:bookmarkEnd w:id="64"/>
    </w:p>
    <w:p>
      <w:pPr>
        <w:spacing w:line="360" w:lineRule="auto"/>
        <w:ind w:firstLine="210" w:firstLineChars="100"/>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1、按制造商的产品验收标准，中华人民共和国有关标准以及磋商文件规定的技术要求进行验收。</w:t>
      </w:r>
    </w:p>
    <w:p>
      <w:pPr>
        <w:spacing w:line="360" w:lineRule="auto"/>
        <w:ind w:firstLine="210" w:firstLineChars="100"/>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2、成交供应商应提供货物制造商的出厂检验报告、合格证书。</w:t>
      </w:r>
    </w:p>
    <w:p>
      <w:pPr>
        <w:spacing w:line="360" w:lineRule="auto"/>
        <w:ind w:firstLine="210" w:firstLineChars="100"/>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3、成交产品中涉及进口产品的，成交供应商应提供产品进关三证文件。</w:t>
      </w:r>
    </w:p>
    <w:p>
      <w:pPr>
        <w:spacing w:line="360" w:lineRule="auto"/>
        <w:ind w:left="210" w:leftChars="75"/>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4、验收依据：磋商文件、响应磋商文件、合同、厂家货物技术标准说明及国家有关的质量标准规定，均为验收依据。</w:t>
      </w:r>
    </w:p>
    <w:p>
      <w:pPr>
        <w:spacing w:line="360" w:lineRule="auto"/>
        <w:ind w:firstLine="210" w:firstLineChars="100"/>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5、货物验收：货物运抵采购人处后由双方对照采购清单及技术要求进行验收。</w:t>
      </w:r>
    </w:p>
    <w:p>
      <w:pPr>
        <w:spacing w:line="360" w:lineRule="auto"/>
        <w:ind w:left="210" w:leftChars="75"/>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6、系统验收：成交供应商根据招标要求进行软硬件安装、调试、测试后，由采购人或政府相关部门进行使用性能方面的验收。</w:t>
      </w:r>
    </w:p>
    <w:p>
      <w:pPr>
        <w:spacing w:line="360" w:lineRule="auto"/>
        <w:ind w:left="210" w:leftChars="75"/>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7、采购人有权委托我国相关具有检验资质的部门、单位、机构针对成交货物的精度、性能进行检验。其检验结果将作为验收标准的组成部分之一。</w:t>
      </w:r>
    </w:p>
    <w:p>
      <w:pPr>
        <w:spacing w:line="360" w:lineRule="auto"/>
        <w:ind w:firstLine="210" w:firstLineChars="100"/>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8、验收时成交供应商必须派代表参加。</w:t>
      </w:r>
    </w:p>
    <w:p>
      <w:pPr>
        <w:pStyle w:val="7"/>
        <w:jc w:val="left"/>
        <w:rPr>
          <w:rFonts w:ascii="宋体" w:hAnsi="宋体" w:eastAsia="宋体" w:cs="宋体"/>
          <w:sz w:val="24"/>
          <w:szCs w:val="24"/>
        </w:rPr>
      </w:pPr>
      <w:bookmarkStart w:id="65" w:name="_Toc25247"/>
      <w:r>
        <w:rPr>
          <w:rFonts w:hint="eastAsia" w:ascii="宋体" w:hAnsi="宋体" w:eastAsia="宋体" w:cs="宋体"/>
          <w:sz w:val="24"/>
          <w:szCs w:val="24"/>
          <w:lang w:val="en-US" w:eastAsia="zh-CN"/>
        </w:rPr>
        <w:t>九</w:t>
      </w:r>
      <w:r>
        <w:rPr>
          <w:rFonts w:hint="eastAsia" w:ascii="宋体" w:hAnsi="宋体" w:eastAsia="宋体" w:cs="宋体"/>
          <w:sz w:val="24"/>
          <w:szCs w:val="24"/>
        </w:rPr>
        <w:t>、现场踏勘</w:t>
      </w:r>
      <w:bookmarkEnd w:id="65"/>
    </w:p>
    <w:p>
      <w:pPr>
        <w:spacing w:line="360" w:lineRule="auto"/>
        <w:ind w:left="210" w:leftChars="75"/>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1、本项目采购人不组织集中现场踏勘，供应商可自行对项目现场及周围环境进行踏勘，以便获取有关编制响应文件和签署合同所涉及现场的资料。供应商应自行承担踏勘现场所发生的费用。（现场踏勘联系人、联系方式：黄工 18350210177）</w:t>
      </w:r>
    </w:p>
    <w:p>
      <w:pPr>
        <w:spacing w:line="360" w:lineRule="auto"/>
        <w:ind w:left="210" w:leftChars="75"/>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2、 供应商及其人员经过施工现场管理人员的允许，可以踏勘为目的进入采购人的项目现场，但供应商及其人员不得因此使采购人及其人员承担有关的责任和蒙受损失。供应 商并应对由此次踏勘现场而造成的死亡、人身伤害、财产损失、损害以及任何其它损失、损害和引起的费用和开支承担责任。</w:t>
      </w:r>
    </w:p>
    <w:p>
      <w:pPr>
        <w:spacing w:line="360" w:lineRule="auto"/>
        <w:ind w:left="210" w:leftChars="75"/>
        <w:rPr>
          <w:rFonts w:ascii="宋体" w:hAnsi="宋体" w:cs="宋体"/>
          <w:kern w:val="0"/>
          <w:sz w:val="21"/>
          <w:szCs w:val="21"/>
          <w:shd w:val="clear" w:color="auto" w:fill="FFFFFF"/>
        </w:rPr>
      </w:pPr>
      <w:r>
        <w:rPr>
          <w:rFonts w:hint="eastAsia" w:ascii="宋体" w:hAnsi="宋体" w:cs="宋体"/>
          <w:kern w:val="0"/>
          <w:sz w:val="21"/>
          <w:szCs w:val="21"/>
          <w:shd w:val="clear" w:color="auto" w:fill="FFFFFF"/>
        </w:rPr>
        <w:t>3、采购人向供应商提供的有关现场的资料和数据，是采购人现有的能被供应商利用的资料。采购人对供应商做出的理解、推论和结论均不负责任。</w:t>
      </w:r>
    </w:p>
    <w:p>
      <w:pPr>
        <w:spacing w:line="360" w:lineRule="auto"/>
        <w:ind w:left="210" w:leftChars="75"/>
        <w:rPr>
          <w:rFonts w:ascii="宋体" w:hAnsi="宋体" w:cs="宋体"/>
          <w:kern w:val="0"/>
          <w:sz w:val="21"/>
          <w:szCs w:val="21"/>
          <w:shd w:val="clear" w:color="auto" w:fill="FFFFFF"/>
        </w:rPr>
      </w:pPr>
    </w:p>
    <w:p>
      <w:pPr>
        <w:pStyle w:val="7"/>
        <w:jc w:val="left"/>
        <w:rPr>
          <w:rFonts w:ascii="宋体" w:hAnsi="宋体" w:eastAsia="宋体"/>
          <w:sz w:val="24"/>
          <w:szCs w:val="24"/>
        </w:rPr>
      </w:pPr>
      <w:bookmarkStart w:id="66" w:name="_Toc3900"/>
      <w:r>
        <w:rPr>
          <w:rFonts w:hint="eastAsia" w:ascii="宋体" w:hAnsi="宋体" w:eastAsia="宋体"/>
          <w:sz w:val="24"/>
          <w:szCs w:val="24"/>
        </w:rPr>
        <w:t>十、其他事项</w:t>
      </w:r>
      <w:bookmarkEnd w:id="66"/>
    </w:p>
    <w:p>
      <w:pPr>
        <w:pStyle w:val="19"/>
        <w:widowControl/>
        <w:spacing w:before="75" w:after="75" w:line="400" w:lineRule="exact"/>
        <w:ind w:left="210" w:leftChars="75" w:right="-181" w:firstLine="420" w:firstLineChars="200"/>
        <w:rPr>
          <w:rFonts w:ascii="宋体" w:hAnsi="宋体" w:cs="宋体"/>
          <w:sz w:val="21"/>
          <w:szCs w:val="21"/>
          <w:shd w:val="clear" w:color="auto" w:fill="FFFFFF"/>
        </w:rPr>
      </w:pPr>
      <w:r>
        <w:rPr>
          <w:rFonts w:hint="eastAsia" w:ascii="宋体" w:hAnsi="宋体" w:cs="宋体"/>
          <w:sz w:val="21"/>
          <w:szCs w:val="21"/>
          <w:shd w:val="clear" w:color="auto" w:fill="FFFFFF"/>
        </w:rPr>
        <w:t>除磋商文件另有规定外，若出现有关法律、法规和规章有强制性规定但磋商文件未列明的情形，则供应商应按照有关法律、法规和规章强制性规定执行。</w:t>
      </w:r>
    </w:p>
    <w:p>
      <w:pPr>
        <w:pStyle w:val="19"/>
        <w:widowControl/>
        <w:spacing w:before="75" w:after="75" w:line="400" w:lineRule="exact"/>
        <w:ind w:left="-180" w:right="-180"/>
        <w:rPr>
          <w:rFonts w:ascii="宋体" w:hAnsi="宋体" w:cs="宋体"/>
          <w:shd w:val="clear" w:color="auto" w:fill="FFFFFF"/>
        </w:rPr>
      </w:pPr>
      <w:r>
        <w:rPr>
          <w:rFonts w:hint="eastAsia" w:ascii="宋体" w:hAnsi="宋体" w:cs="宋体"/>
          <w:shd w:val="clear" w:color="auto" w:fill="FFFFFF"/>
        </w:rPr>
        <w:t> </w:t>
      </w:r>
    </w:p>
    <w:p>
      <w:pPr>
        <w:pStyle w:val="19"/>
        <w:widowControl/>
        <w:spacing w:before="75" w:after="75" w:line="400" w:lineRule="exact"/>
        <w:ind w:left="-180" w:right="-180"/>
        <w:rPr>
          <w:rFonts w:ascii="宋体" w:hAnsi="宋体" w:cs="宋体"/>
          <w:shd w:val="clear" w:color="auto" w:fill="FFFFFF"/>
        </w:rPr>
      </w:pPr>
    </w:p>
    <w:p>
      <w:pPr>
        <w:pStyle w:val="19"/>
        <w:widowControl/>
        <w:spacing w:before="75" w:after="75" w:line="400" w:lineRule="exact"/>
        <w:ind w:left="-180" w:right="-180"/>
        <w:rPr>
          <w:rFonts w:ascii="宋体" w:hAnsi="宋体" w:cs="宋体"/>
          <w:shd w:val="clear" w:color="auto" w:fill="FFFFFF"/>
        </w:rPr>
      </w:pPr>
    </w:p>
    <w:p>
      <w:pPr>
        <w:spacing w:beforeLines="100" w:afterLines="100" w:line="360" w:lineRule="auto"/>
        <w:outlineLvl w:val="0"/>
        <w:rPr>
          <w:b/>
          <w:bCs/>
          <w:kern w:val="44"/>
          <w:sz w:val="44"/>
          <w:szCs w:val="44"/>
        </w:rPr>
      </w:pPr>
    </w:p>
    <w:p>
      <w:pPr>
        <w:spacing w:beforeLines="100" w:afterLines="100" w:line="360" w:lineRule="auto"/>
        <w:jc w:val="both"/>
        <w:outlineLvl w:val="0"/>
        <w:rPr>
          <w:b/>
          <w:bCs/>
          <w:kern w:val="44"/>
          <w:sz w:val="36"/>
          <w:szCs w:val="36"/>
        </w:rPr>
      </w:pPr>
    </w:p>
    <w:p>
      <w:pPr>
        <w:spacing w:beforeLines="100" w:afterLines="100" w:line="360" w:lineRule="auto"/>
        <w:jc w:val="center"/>
        <w:outlineLvl w:val="0"/>
        <w:rPr>
          <w:b/>
          <w:bCs/>
          <w:kern w:val="44"/>
          <w:sz w:val="44"/>
          <w:szCs w:val="44"/>
        </w:rPr>
      </w:pPr>
      <w:bookmarkStart w:id="67" w:name="_Toc23227"/>
      <w:r>
        <w:rPr>
          <w:rFonts w:hint="eastAsia"/>
          <w:b/>
          <w:bCs/>
          <w:kern w:val="44"/>
          <w:sz w:val="36"/>
          <w:szCs w:val="36"/>
        </w:rPr>
        <w:t>第四章  采购合同（参考文本）</w:t>
      </w:r>
      <w:bookmarkEnd w:id="67"/>
      <w:bookmarkStart w:id="68" w:name="_Toc268599011"/>
    </w:p>
    <w:tbl>
      <w:tblPr>
        <w:tblStyle w:val="24"/>
        <w:tblpPr w:leftFromText="180" w:rightFromText="180" w:vertAnchor="text" w:horzAnchor="page" w:tblpX="1163" w:tblpY="307"/>
        <w:tblOverlap w:val="never"/>
        <w:tblW w:w="9765" w:type="dxa"/>
        <w:tblInd w:w="0" w:type="dxa"/>
        <w:tblLayout w:type="fixed"/>
        <w:tblCellMar>
          <w:top w:w="0" w:type="dxa"/>
          <w:left w:w="108" w:type="dxa"/>
          <w:bottom w:w="0" w:type="dxa"/>
          <w:right w:w="108" w:type="dxa"/>
        </w:tblCellMar>
      </w:tblPr>
      <w:tblGrid>
        <w:gridCol w:w="9765"/>
      </w:tblGrid>
      <w:tr>
        <w:tblPrEx>
          <w:tblLayout w:type="fixed"/>
          <w:tblCellMar>
            <w:top w:w="0" w:type="dxa"/>
            <w:left w:w="108" w:type="dxa"/>
            <w:bottom w:w="0" w:type="dxa"/>
            <w:right w:w="108" w:type="dxa"/>
          </w:tblCellMar>
        </w:tblPrEx>
        <w:trPr>
          <w:trHeight w:val="1306" w:hRule="atLeast"/>
        </w:trPr>
        <w:tc>
          <w:tcPr>
            <w:tcW w:w="9765" w:type="dxa"/>
            <w:tcBorders>
              <w:top w:val="single" w:color="000000" w:sz="4" w:space="0"/>
              <w:left w:val="single" w:color="000000" w:sz="4" w:space="0"/>
              <w:bottom w:val="single" w:color="000000" w:sz="4" w:space="0"/>
              <w:right w:val="single" w:color="000000" w:sz="4" w:space="0"/>
            </w:tcBorders>
          </w:tcPr>
          <w:p>
            <w:pPr>
              <w:spacing w:before="120"/>
              <w:ind w:left="105"/>
              <w:rPr>
                <w:rFonts w:ascii="宋体" w:hAnsi="宋体" w:cs="宋体"/>
                <w:kern w:val="1"/>
                <w:sz w:val="21"/>
                <w:szCs w:val="21"/>
              </w:rPr>
            </w:pPr>
            <w:r>
              <w:rPr>
                <w:rFonts w:hint="eastAsia" w:ascii="宋体" w:hAnsi="宋体" w:cs="宋体"/>
                <w:kern w:val="1"/>
                <w:sz w:val="21"/>
                <w:szCs w:val="21"/>
              </w:rPr>
              <w:t xml:space="preserve">注释： </w:t>
            </w:r>
          </w:p>
          <w:p>
            <w:pPr>
              <w:ind w:firstLine="480"/>
              <w:rPr>
                <w:rFonts w:ascii="宋体" w:hAnsi="宋体" w:cs="宋体"/>
                <w:b/>
                <w:spacing w:val="19"/>
                <w:kern w:val="1"/>
                <w:sz w:val="21"/>
                <w:szCs w:val="21"/>
              </w:rPr>
            </w:pPr>
            <w:r>
              <w:rPr>
                <w:rFonts w:hint="eastAsia" w:ascii="宋体" w:hAnsi="宋体" w:cs="宋体"/>
                <w:kern w:val="1"/>
                <w:sz w:val="21"/>
                <w:szCs w:val="21"/>
              </w:rPr>
              <w:t>本格式条款仅作为双方签订合同的参考，为阐明各方的权利和义务，经协商可增加新的条款、修改相关条款， 但不得与采购文件、磋商响应文件的实质性内容相背离。</w:t>
            </w:r>
          </w:p>
        </w:tc>
      </w:tr>
    </w:tbl>
    <w:p>
      <w:pPr>
        <w:spacing w:before="120"/>
        <w:rPr>
          <w:rFonts w:ascii="宋体" w:hAnsi="宋体" w:cs="宋体"/>
          <w:kern w:val="1"/>
          <w:sz w:val="21"/>
          <w:szCs w:val="21"/>
        </w:rPr>
      </w:pPr>
    </w:p>
    <w:p>
      <w:pPr>
        <w:spacing w:line="420" w:lineRule="exact"/>
        <w:ind w:left="-284"/>
        <w:rPr>
          <w:rFonts w:ascii="宋体" w:hAnsi="宋体" w:cs="宋体"/>
          <w:kern w:val="1"/>
          <w:sz w:val="21"/>
          <w:szCs w:val="21"/>
        </w:rPr>
      </w:pPr>
      <w:r>
        <w:rPr>
          <w:rFonts w:ascii="宋体" w:hAnsi="宋体" w:cs="宋体"/>
          <w:kern w:val="1"/>
          <w:sz w:val="21"/>
          <w:szCs w:val="21"/>
        </w:rPr>
        <w:t>合同号：</w:t>
      </w:r>
    </w:p>
    <w:p>
      <w:pPr>
        <w:spacing w:line="360" w:lineRule="auto"/>
        <w:rPr>
          <w:rFonts w:ascii="宋体" w:hAnsi="宋体" w:cs="宋体"/>
          <w:kern w:val="1"/>
          <w:sz w:val="21"/>
          <w:szCs w:val="21"/>
        </w:rPr>
      </w:pPr>
      <w:r>
        <w:rPr>
          <w:rFonts w:ascii="宋体" w:hAnsi="宋体" w:cs="宋体"/>
          <w:kern w:val="1"/>
          <w:sz w:val="21"/>
          <w:szCs w:val="21"/>
        </w:rPr>
        <w:t xml:space="preserve">甲方(采购人)：                            签定地点：                   </w:t>
      </w:r>
    </w:p>
    <w:p>
      <w:pPr>
        <w:spacing w:line="360" w:lineRule="auto"/>
        <w:rPr>
          <w:rFonts w:ascii="宋体" w:hAnsi="宋体" w:cs="宋体"/>
          <w:kern w:val="1"/>
          <w:sz w:val="21"/>
          <w:szCs w:val="21"/>
        </w:rPr>
      </w:pPr>
      <w:r>
        <w:rPr>
          <w:rFonts w:ascii="宋体" w:hAnsi="宋体" w:cs="宋体"/>
          <w:kern w:val="1"/>
          <w:sz w:val="21"/>
          <w:szCs w:val="21"/>
        </w:rPr>
        <w:t>乙方（</w:t>
      </w:r>
      <w:r>
        <w:rPr>
          <w:rFonts w:hint="eastAsia" w:ascii="宋体" w:hAnsi="宋体" w:cs="宋体"/>
          <w:kern w:val="1"/>
          <w:sz w:val="21"/>
          <w:szCs w:val="21"/>
        </w:rPr>
        <w:t>成交供应商</w:t>
      </w:r>
      <w:r>
        <w:rPr>
          <w:rFonts w:ascii="宋体" w:hAnsi="宋体" w:cs="宋体"/>
          <w:kern w:val="1"/>
          <w:sz w:val="21"/>
          <w:szCs w:val="21"/>
        </w:rPr>
        <w:t>）：                        签定日期：      年   月   日</w:t>
      </w:r>
    </w:p>
    <w:p>
      <w:pPr>
        <w:spacing w:line="360" w:lineRule="auto"/>
        <w:rPr>
          <w:rFonts w:ascii="宋体" w:hAnsi="宋体" w:cs="宋体"/>
          <w:kern w:val="1"/>
          <w:sz w:val="21"/>
          <w:szCs w:val="21"/>
        </w:rPr>
      </w:pPr>
      <w:r>
        <w:rPr>
          <w:rFonts w:ascii="宋体" w:hAnsi="宋体" w:cs="宋体"/>
          <w:kern w:val="1"/>
          <w:sz w:val="21"/>
          <w:szCs w:val="21"/>
        </w:rPr>
        <w:t xml:space="preserve">    根据甲方委托(</w:t>
      </w:r>
      <w:r>
        <w:rPr>
          <w:rFonts w:ascii="宋体" w:hAnsi="宋体" w:cs="宋体"/>
          <w:kern w:val="1"/>
          <w:sz w:val="21"/>
          <w:szCs w:val="21"/>
          <w:u w:val="single"/>
        </w:rPr>
        <w:t>招标代理机构</w:t>
      </w:r>
      <w:r>
        <w:rPr>
          <w:rFonts w:ascii="宋体" w:hAnsi="宋体" w:cs="宋体"/>
          <w:kern w:val="1"/>
          <w:sz w:val="21"/>
          <w:szCs w:val="21"/>
        </w:rPr>
        <w:t>)对进行采购（</w:t>
      </w:r>
      <w:r>
        <w:rPr>
          <w:rFonts w:hint="eastAsia" w:ascii="宋体" w:hAnsi="宋体" w:cs="宋体"/>
          <w:kern w:val="1"/>
          <w:sz w:val="21"/>
          <w:szCs w:val="21"/>
        </w:rPr>
        <w:t>项目</w:t>
      </w:r>
      <w:r>
        <w:rPr>
          <w:rFonts w:ascii="宋体" w:hAnsi="宋体" w:cs="宋体"/>
          <w:kern w:val="1"/>
          <w:sz w:val="21"/>
          <w:szCs w:val="21"/>
        </w:rPr>
        <w:t>编号：）的</w:t>
      </w:r>
      <w:r>
        <w:rPr>
          <w:rFonts w:hint="eastAsia" w:ascii="宋体" w:hAnsi="宋体" w:cs="宋体"/>
          <w:kern w:val="1"/>
          <w:sz w:val="21"/>
          <w:szCs w:val="21"/>
        </w:rPr>
        <w:t>成交</w:t>
      </w:r>
      <w:r>
        <w:rPr>
          <w:rFonts w:ascii="宋体" w:hAnsi="宋体" w:cs="宋体"/>
          <w:kern w:val="1"/>
          <w:sz w:val="21"/>
          <w:szCs w:val="21"/>
        </w:rPr>
        <w:t>结果，乙方为</w:t>
      </w:r>
      <w:r>
        <w:rPr>
          <w:rFonts w:hint="eastAsia" w:ascii="宋体" w:hAnsi="宋体" w:cs="宋体"/>
          <w:kern w:val="1"/>
          <w:sz w:val="21"/>
          <w:szCs w:val="21"/>
        </w:rPr>
        <w:t>成交供应商</w:t>
      </w:r>
      <w:r>
        <w:rPr>
          <w:rFonts w:ascii="宋体" w:hAnsi="宋体" w:cs="宋体"/>
          <w:kern w:val="1"/>
          <w:sz w:val="21"/>
          <w:szCs w:val="21"/>
        </w:rPr>
        <w:t>，现依照</w:t>
      </w:r>
      <w:r>
        <w:rPr>
          <w:rFonts w:hint="eastAsia" w:ascii="宋体" w:hAnsi="宋体" w:cs="宋体"/>
          <w:kern w:val="1"/>
          <w:sz w:val="21"/>
          <w:szCs w:val="21"/>
        </w:rPr>
        <w:t>采购</w:t>
      </w:r>
      <w:r>
        <w:rPr>
          <w:rFonts w:ascii="宋体" w:hAnsi="宋体" w:cs="宋体"/>
          <w:kern w:val="1"/>
          <w:sz w:val="21"/>
          <w:szCs w:val="21"/>
        </w:rPr>
        <w:t>文件、（</w:t>
      </w:r>
      <w:r>
        <w:rPr>
          <w:rFonts w:hint="eastAsia" w:ascii="宋体" w:hAnsi="宋体" w:cs="宋体"/>
          <w:kern w:val="1"/>
          <w:sz w:val="21"/>
          <w:szCs w:val="21"/>
        </w:rPr>
        <w:t>成交供应商</w:t>
      </w:r>
      <w:r>
        <w:rPr>
          <w:rFonts w:ascii="宋体" w:hAnsi="宋体" w:cs="宋体"/>
          <w:kern w:val="1"/>
          <w:sz w:val="21"/>
          <w:szCs w:val="21"/>
        </w:rPr>
        <w:t>）</w:t>
      </w:r>
      <w:r>
        <w:rPr>
          <w:rFonts w:hint="eastAsia" w:ascii="宋体" w:hAnsi="宋体" w:cs="宋体"/>
          <w:kern w:val="1"/>
          <w:sz w:val="21"/>
          <w:szCs w:val="21"/>
        </w:rPr>
        <w:t>响应</w:t>
      </w:r>
      <w:r>
        <w:rPr>
          <w:rFonts w:ascii="宋体" w:hAnsi="宋体" w:cs="宋体"/>
          <w:kern w:val="1"/>
          <w:sz w:val="21"/>
          <w:szCs w:val="21"/>
        </w:rPr>
        <w:t>文件及有关法律、法规、规章规定的内容，双方达成如下协议：</w:t>
      </w:r>
    </w:p>
    <w:p>
      <w:pPr>
        <w:spacing w:line="360" w:lineRule="auto"/>
        <w:rPr>
          <w:rFonts w:ascii="宋体" w:hAnsi="宋体" w:cs="宋体"/>
          <w:kern w:val="1"/>
          <w:sz w:val="21"/>
          <w:szCs w:val="21"/>
        </w:rPr>
      </w:pPr>
      <w:r>
        <w:rPr>
          <w:rFonts w:ascii="宋体" w:hAnsi="宋体" w:cs="宋体"/>
          <w:kern w:val="1"/>
          <w:sz w:val="21"/>
          <w:szCs w:val="21"/>
        </w:rPr>
        <w:t>1、合同标的和合同价格</w:t>
      </w:r>
    </w:p>
    <w:tbl>
      <w:tblPr>
        <w:tblStyle w:val="24"/>
        <w:tblW w:w="9765" w:type="dxa"/>
        <w:tblInd w:w="108" w:type="dxa"/>
        <w:tblLayout w:type="fixed"/>
        <w:tblCellMar>
          <w:top w:w="0" w:type="dxa"/>
          <w:left w:w="108" w:type="dxa"/>
          <w:bottom w:w="0" w:type="dxa"/>
          <w:right w:w="108" w:type="dxa"/>
        </w:tblCellMar>
      </w:tblPr>
      <w:tblGrid>
        <w:gridCol w:w="1380"/>
        <w:gridCol w:w="1290"/>
        <w:gridCol w:w="1410"/>
        <w:gridCol w:w="1110"/>
        <w:gridCol w:w="1320"/>
        <w:gridCol w:w="1455"/>
        <w:gridCol w:w="1800"/>
      </w:tblGrid>
      <w:tr>
        <w:tblPrEx>
          <w:tblLayout w:type="fixed"/>
          <w:tblCellMar>
            <w:top w:w="0" w:type="dxa"/>
            <w:left w:w="108" w:type="dxa"/>
            <w:bottom w:w="0" w:type="dxa"/>
            <w:right w:w="108" w:type="dxa"/>
          </w:tblCellMar>
        </w:tblPrEx>
        <w:trPr>
          <w:cantSplit/>
          <w:trHeight w:val="851" w:hRule="exact"/>
        </w:trPr>
        <w:tc>
          <w:tcPr>
            <w:tcW w:w="13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 w:val="21"/>
                <w:szCs w:val="21"/>
              </w:rPr>
            </w:pPr>
            <w:r>
              <w:rPr>
                <w:rFonts w:hint="eastAsia" w:ascii="宋体" w:hAnsi="宋体" w:cs="宋体"/>
                <w:kern w:val="1"/>
                <w:sz w:val="21"/>
                <w:szCs w:val="21"/>
              </w:rPr>
              <w:t>产品名称</w:t>
            </w:r>
          </w:p>
        </w:tc>
        <w:tc>
          <w:tcPr>
            <w:tcW w:w="129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 w:val="21"/>
                <w:szCs w:val="21"/>
              </w:rPr>
            </w:pPr>
            <w:r>
              <w:rPr>
                <w:rFonts w:hint="eastAsia" w:ascii="宋体" w:hAnsi="宋体" w:cs="宋体"/>
                <w:kern w:val="1"/>
                <w:sz w:val="21"/>
                <w:szCs w:val="21"/>
              </w:rPr>
              <w:t>规格型号</w:t>
            </w:r>
          </w:p>
        </w:tc>
        <w:tc>
          <w:tcPr>
            <w:tcW w:w="14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 w:val="21"/>
                <w:szCs w:val="21"/>
              </w:rPr>
            </w:pPr>
            <w:r>
              <w:rPr>
                <w:rFonts w:hint="eastAsia" w:ascii="宋体" w:hAnsi="宋体" w:cs="宋体"/>
                <w:kern w:val="1"/>
                <w:sz w:val="21"/>
                <w:szCs w:val="21"/>
              </w:rPr>
              <w:t>生产厂家</w:t>
            </w: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 w:val="21"/>
                <w:szCs w:val="21"/>
              </w:rPr>
            </w:pPr>
            <w:r>
              <w:rPr>
                <w:rFonts w:hint="eastAsia" w:ascii="宋体" w:hAnsi="宋体" w:cs="宋体"/>
                <w:kern w:val="1"/>
                <w:sz w:val="21"/>
                <w:szCs w:val="21"/>
              </w:rPr>
              <w:t>数 量</w:t>
            </w: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 w:val="21"/>
                <w:szCs w:val="21"/>
              </w:rPr>
            </w:pPr>
            <w:r>
              <w:rPr>
                <w:rFonts w:hint="eastAsia" w:ascii="宋体" w:hAnsi="宋体" w:cs="宋体"/>
                <w:kern w:val="1"/>
                <w:sz w:val="21"/>
                <w:szCs w:val="21"/>
              </w:rPr>
              <w:t>单 价</w:t>
            </w:r>
          </w:p>
        </w:tc>
        <w:tc>
          <w:tcPr>
            <w:tcW w:w="14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 w:val="21"/>
                <w:szCs w:val="21"/>
              </w:rPr>
            </w:pPr>
            <w:r>
              <w:rPr>
                <w:rFonts w:hint="eastAsia" w:ascii="宋体" w:hAnsi="宋体" w:cs="宋体"/>
                <w:kern w:val="1"/>
                <w:sz w:val="21"/>
                <w:szCs w:val="21"/>
              </w:rPr>
              <w:t>总 价</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kern w:val="1"/>
                <w:sz w:val="21"/>
                <w:szCs w:val="21"/>
              </w:rPr>
            </w:pPr>
            <w:r>
              <w:rPr>
                <w:rFonts w:hint="eastAsia" w:ascii="宋体" w:hAnsi="宋体" w:cs="宋体"/>
                <w:kern w:val="1"/>
                <w:sz w:val="21"/>
                <w:szCs w:val="21"/>
              </w:rPr>
              <w:t>交付使用期</w:t>
            </w:r>
          </w:p>
        </w:tc>
      </w:tr>
      <w:tr>
        <w:tblPrEx>
          <w:tblLayout w:type="fixed"/>
          <w:tblCellMar>
            <w:top w:w="0" w:type="dxa"/>
            <w:left w:w="108" w:type="dxa"/>
            <w:bottom w:w="0" w:type="dxa"/>
            <w:right w:w="108" w:type="dxa"/>
          </w:tblCellMar>
        </w:tblPrEx>
        <w:trPr>
          <w:cantSplit/>
          <w:trHeight w:val="440" w:hRule="exact"/>
        </w:trPr>
        <w:tc>
          <w:tcPr>
            <w:tcW w:w="138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p>
            <w:pPr>
              <w:spacing w:line="360" w:lineRule="auto"/>
              <w:rPr>
                <w:rFonts w:ascii="宋体" w:hAnsi="宋体" w:cs="宋体"/>
                <w:kern w:val="1"/>
                <w:sz w:val="21"/>
                <w:szCs w:val="21"/>
              </w:rPr>
            </w:pPr>
          </w:p>
        </w:tc>
        <w:tc>
          <w:tcPr>
            <w:tcW w:w="129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41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11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32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455"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80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r>
      <w:tr>
        <w:tblPrEx>
          <w:tblLayout w:type="fixed"/>
          <w:tblCellMar>
            <w:top w:w="0" w:type="dxa"/>
            <w:left w:w="108" w:type="dxa"/>
            <w:bottom w:w="0" w:type="dxa"/>
            <w:right w:w="108" w:type="dxa"/>
          </w:tblCellMar>
        </w:tblPrEx>
        <w:trPr>
          <w:cantSplit/>
          <w:trHeight w:val="379" w:hRule="exact"/>
        </w:trPr>
        <w:tc>
          <w:tcPr>
            <w:tcW w:w="138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p>
            <w:pPr>
              <w:spacing w:line="360" w:lineRule="auto"/>
              <w:rPr>
                <w:rFonts w:ascii="宋体" w:hAnsi="宋体" w:cs="宋体"/>
                <w:kern w:val="1"/>
                <w:sz w:val="21"/>
                <w:szCs w:val="21"/>
              </w:rPr>
            </w:pPr>
          </w:p>
        </w:tc>
        <w:tc>
          <w:tcPr>
            <w:tcW w:w="129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41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11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32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455"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80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r>
      <w:tr>
        <w:tblPrEx>
          <w:tblLayout w:type="fixed"/>
          <w:tblCellMar>
            <w:top w:w="0" w:type="dxa"/>
            <w:left w:w="108" w:type="dxa"/>
            <w:bottom w:w="0" w:type="dxa"/>
            <w:right w:w="108" w:type="dxa"/>
          </w:tblCellMar>
        </w:tblPrEx>
        <w:trPr>
          <w:cantSplit/>
          <w:trHeight w:val="358" w:hRule="exact"/>
        </w:trPr>
        <w:tc>
          <w:tcPr>
            <w:tcW w:w="138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p>
            <w:pPr>
              <w:spacing w:line="360" w:lineRule="auto"/>
              <w:rPr>
                <w:rFonts w:ascii="宋体" w:hAnsi="宋体" w:cs="宋体"/>
                <w:kern w:val="1"/>
                <w:sz w:val="21"/>
                <w:szCs w:val="21"/>
              </w:rPr>
            </w:pPr>
          </w:p>
        </w:tc>
        <w:tc>
          <w:tcPr>
            <w:tcW w:w="129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41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11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32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455"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80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r>
      <w:tr>
        <w:tblPrEx>
          <w:tblLayout w:type="fixed"/>
          <w:tblCellMar>
            <w:top w:w="0" w:type="dxa"/>
            <w:left w:w="108" w:type="dxa"/>
            <w:bottom w:w="0" w:type="dxa"/>
            <w:right w:w="108" w:type="dxa"/>
          </w:tblCellMar>
        </w:tblPrEx>
        <w:trPr>
          <w:cantSplit/>
          <w:trHeight w:val="348" w:hRule="exact"/>
        </w:trPr>
        <w:tc>
          <w:tcPr>
            <w:tcW w:w="138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p>
            <w:pPr>
              <w:spacing w:line="360" w:lineRule="auto"/>
              <w:rPr>
                <w:rFonts w:ascii="宋体" w:hAnsi="宋体" w:cs="宋体"/>
                <w:kern w:val="1"/>
                <w:sz w:val="21"/>
                <w:szCs w:val="21"/>
              </w:rPr>
            </w:pPr>
          </w:p>
        </w:tc>
        <w:tc>
          <w:tcPr>
            <w:tcW w:w="129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41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11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32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455"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c>
          <w:tcPr>
            <w:tcW w:w="1800"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kern w:val="1"/>
                <w:sz w:val="21"/>
                <w:szCs w:val="21"/>
              </w:rPr>
            </w:pPr>
          </w:p>
        </w:tc>
      </w:tr>
    </w:tbl>
    <w:p>
      <w:pPr>
        <w:spacing w:line="360" w:lineRule="auto"/>
        <w:rPr>
          <w:rFonts w:ascii="宋体" w:hAnsi="宋体" w:cs="宋体"/>
          <w:kern w:val="1"/>
          <w:sz w:val="21"/>
          <w:szCs w:val="21"/>
        </w:rPr>
      </w:pPr>
      <w:r>
        <w:rPr>
          <w:rFonts w:ascii="宋体" w:hAnsi="宋体" w:cs="宋体"/>
          <w:kern w:val="1"/>
          <w:sz w:val="21"/>
          <w:szCs w:val="21"/>
        </w:rPr>
        <w:t>2、交付方式和交货地点</w:t>
      </w:r>
    </w:p>
    <w:p>
      <w:pPr>
        <w:spacing w:line="360" w:lineRule="auto"/>
        <w:ind w:firstLine="480"/>
        <w:rPr>
          <w:rFonts w:ascii="宋体" w:hAnsi="宋体" w:cs="宋体"/>
          <w:kern w:val="1"/>
          <w:sz w:val="21"/>
          <w:szCs w:val="21"/>
          <w:u w:val="single"/>
        </w:rPr>
      </w:pPr>
      <w:r>
        <w:rPr>
          <w:rFonts w:ascii="宋体" w:hAnsi="宋体" w:cs="宋体"/>
          <w:kern w:val="1"/>
          <w:sz w:val="21"/>
          <w:szCs w:val="21"/>
        </w:rPr>
        <w:t xml:space="preserve">2.1交付方式： </w:t>
      </w:r>
    </w:p>
    <w:p>
      <w:pPr>
        <w:spacing w:line="360" w:lineRule="auto"/>
        <w:ind w:firstLine="480"/>
        <w:rPr>
          <w:rFonts w:ascii="宋体" w:hAnsi="宋体" w:cs="宋体"/>
          <w:kern w:val="1"/>
          <w:sz w:val="21"/>
          <w:szCs w:val="21"/>
        </w:rPr>
      </w:pPr>
      <w:r>
        <w:rPr>
          <w:rFonts w:ascii="宋体" w:hAnsi="宋体" w:cs="宋体"/>
          <w:kern w:val="1"/>
          <w:sz w:val="21"/>
          <w:szCs w:val="21"/>
        </w:rPr>
        <w:t>2.2交付地点：</w:t>
      </w:r>
    </w:p>
    <w:p>
      <w:pPr>
        <w:spacing w:line="360" w:lineRule="auto"/>
        <w:rPr>
          <w:rFonts w:ascii="宋体" w:hAnsi="宋体" w:cs="宋体"/>
          <w:kern w:val="1"/>
          <w:sz w:val="21"/>
          <w:szCs w:val="21"/>
        </w:rPr>
      </w:pPr>
      <w:r>
        <w:rPr>
          <w:rFonts w:ascii="宋体" w:hAnsi="宋体" w:cs="宋体"/>
          <w:kern w:val="1"/>
          <w:sz w:val="21"/>
          <w:szCs w:val="21"/>
        </w:rPr>
        <w:t>3、供货清单</w:t>
      </w:r>
    </w:p>
    <w:p>
      <w:pPr>
        <w:spacing w:line="360" w:lineRule="auto"/>
        <w:rPr>
          <w:rFonts w:ascii="宋体" w:hAnsi="宋体" w:cs="宋体"/>
          <w:kern w:val="1"/>
          <w:sz w:val="21"/>
          <w:szCs w:val="21"/>
        </w:rPr>
      </w:pPr>
      <w:r>
        <w:rPr>
          <w:rFonts w:ascii="宋体" w:hAnsi="宋体" w:cs="宋体"/>
          <w:kern w:val="1"/>
          <w:sz w:val="21"/>
          <w:szCs w:val="21"/>
        </w:rPr>
        <w:t xml:space="preserve">   3.1供货清单：包括产品主机、备品备件、专用工具的名称及数量。（采购人对包装及运输有特别要求的，应作具体约定。）</w:t>
      </w:r>
    </w:p>
    <w:p>
      <w:pPr>
        <w:spacing w:line="360" w:lineRule="auto"/>
        <w:rPr>
          <w:rFonts w:ascii="宋体" w:hAnsi="宋体" w:cs="宋体"/>
          <w:kern w:val="1"/>
          <w:sz w:val="21"/>
          <w:szCs w:val="21"/>
        </w:rPr>
      </w:pPr>
      <w:r>
        <w:rPr>
          <w:rFonts w:ascii="宋体" w:hAnsi="宋体" w:cs="宋体"/>
          <w:kern w:val="1"/>
          <w:sz w:val="21"/>
          <w:szCs w:val="21"/>
        </w:rPr>
        <w:t>4、付款方式与条件</w:t>
      </w:r>
    </w:p>
    <w:p>
      <w:pPr>
        <w:spacing w:line="360" w:lineRule="auto"/>
        <w:rPr>
          <w:rFonts w:ascii="宋体" w:hAnsi="宋体" w:cs="宋体"/>
          <w:kern w:val="1"/>
          <w:sz w:val="21"/>
          <w:szCs w:val="21"/>
        </w:rPr>
      </w:pPr>
      <w:r>
        <w:rPr>
          <w:rFonts w:ascii="宋体" w:hAnsi="宋体" w:cs="宋体"/>
          <w:kern w:val="1"/>
          <w:sz w:val="21"/>
          <w:szCs w:val="21"/>
        </w:rPr>
        <w:t xml:space="preserve">   4.1产品交货付款</w:t>
      </w:r>
    </w:p>
    <w:p>
      <w:pPr>
        <w:spacing w:line="360" w:lineRule="auto"/>
        <w:ind w:left="210" w:leftChars="75" w:firstLine="420" w:firstLineChars="200"/>
        <w:rPr>
          <w:rFonts w:ascii="宋体" w:hAnsi="宋体" w:cs="宋体"/>
          <w:kern w:val="0"/>
          <w:sz w:val="21"/>
          <w:szCs w:val="21"/>
          <w:shd w:val="clear" w:color="auto" w:fill="FFFFFF"/>
        </w:rPr>
      </w:pPr>
      <w:r>
        <w:rPr>
          <w:rFonts w:ascii="宋体" w:hAnsi="宋体" w:cs="宋体"/>
          <w:kern w:val="1"/>
          <w:sz w:val="21"/>
          <w:szCs w:val="21"/>
        </w:rPr>
        <w:t xml:space="preserve">  </w:t>
      </w:r>
      <w:r>
        <w:rPr>
          <w:rFonts w:hint="eastAsia" w:ascii="宋体" w:hAnsi="宋体" w:cs="宋体"/>
          <w:kern w:val="0"/>
          <w:sz w:val="21"/>
          <w:szCs w:val="21"/>
          <w:shd w:val="clear" w:color="auto" w:fill="FFFFFF"/>
        </w:rPr>
        <w:t>由</w:t>
      </w:r>
      <w:r>
        <w:rPr>
          <w:rFonts w:hint="eastAsia" w:ascii="宋体" w:hAnsi="宋体" w:cs="宋体"/>
          <w:kern w:val="0"/>
          <w:sz w:val="21"/>
          <w:szCs w:val="21"/>
          <w:shd w:val="clear" w:color="auto" w:fill="FFFFFF"/>
          <w:lang w:val="en-US" w:eastAsia="zh-CN"/>
        </w:rPr>
        <w:t>乙方</w:t>
      </w:r>
      <w:r>
        <w:rPr>
          <w:rFonts w:hint="eastAsia" w:ascii="宋体" w:hAnsi="宋体" w:cs="宋体"/>
          <w:kern w:val="0"/>
          <w:sz w:val="21"/>
          <w:szCs w:val="21"/>
          <w:shd w:val="clear" w:color="auto" w:fill="FFFFFF"/>
        </w:rPr>
        <w:t>先行向</w:t>
      </w:r>
      <w:r>
        <w:rPr>
          <w:rFonts w:hint="eastAsia" w:ascii="宋体" w:hAnsi="宋体" w:cs="宋体"/>
          <w:kern w:val="0"/>
          <w:sz w:val="21"/>
          <w:szCs w:val="21"/>
          <w:shd w:val="clear" w:color="auto" w:fill="FFFFFF"/>
          <w:lang w:val="en-US" w:eastAsia="zh-CN"/>
        </w:rPr>
        <w:t>甲方</w:t>
      </w:r>
      <w:r>
        <w:rPr>
          <w:rFonts w:hint="eastAsia" w:ascii="宋体" w:hAnsi="宋体" w:cs="宋体"/>
          <w:kern w:val="0"/>
          <w:sz w:val="21"/>
          <w:szCs w:val="21"/>
          <w:shd w:val="clear" w:color="auto" w:fill="FFFFFF"/>
        </w:rPr>
        <w:t>指定账户转入</w:t>
      </w:r>
      <w:r>
        <w:rPr>
          <w:rFonts w:hint="eastAsia" w:ascii="宋体" w:hAnsi="宋体" w:cs="宋体"/>
          <w:kern w:val="0"/>
          <w:sz w:val="21"/>
          <w:szCs w:val="21"/>
          <w:shd w:val="clear" w:color="auto" w:fill="FFFFFF"/>
          <w:lang w:val="en-US" w:eastAsia="zh-CN"/>
        </w:rPr>
        <w:t>合同</w:t>
      </w:r>
      <w:r>
        <w:rPr>
          <w:rFonts w:hint="eastAsia" w:ascii="宋体" w:hAnsi="宋体" w:cs="宋体"/>
          <w:kern w:val="0"/>
          <w:sz w:val="21"/>
          <w:szCs w:val="21"/>
          <w:shd w:val="clear" w:color="auto" w:fill="FFFFFF"/>
        </w:rPr>
        <w:t>价的5%作为质量保证金</w:t>
      </w:r>
      <w:r>
        <w:rPr>
          <w:rFonts w:hint="eastAsia" w:ascii="宋体" w:hAnsi="宋体" w:cs="宋体"/>
          <w:kern w:val="0"/>
          <w:sz w:val="21"/>
          <w:szCs w:val="21"/>
          <w:shd w:val="clear" w:color="auto" w:fill="FFFFFF"/>
          <w:lang w:eastAsia="zh-CN"/>
        </w:rPr>
        <w:t>。</w:t>
      </w:r>
      <w:r>
        <w:rPr>
          <w:rFonts w:ascii="宋体" w:hAnsi="宋体" w:cs="宋体"/>
          <w:kern w:val="1"/>
          <w:sz w:val="21"/>
          <w:szCs w:val="21"/>
        </w:rPr>
        <w:t>全部产品交货并经验收合格后，甲方凭收讫产品的验收凭证和产品验收合格文件等材料以</w:t>
      </w:r>
      <w:r>
        <w:rPr>
          <w:rFonts w:hint="eastAsia" w:ascii="宋体" w:hAnsi="宋体" w:cs="宋体"/>
          <w:kern w:val="1"/>
          <w:sz w:val="21"/>
          <w:szCs w:val="21"/>
        </w:rPr>
        <w:t xml:space="preserve">     </w:t>
      </w:r>
      <w:r>
        <w:rPr>
          <w:rFonts w:ascii="宋体" w:hAnsi="宋体" w:cs="宋体"/>
          <w:kern w:val="1"/>
          <w:sz w:val="21"/>
          <w:szCs w:val="21"/>
        </w:rPr>
        <w:t>方式向乙方一次性支付</w:t>
      </w:r>
      <w:r>
        <w:rPr>
          <w:rFonts w:ascii="宋体" w:hAnsi="宋体" w:cs="宋体"/>
          <w:kern w:val="1"/>
          <w:sz w:val="21"/>
          <w:szCs w:val="21"/>
          <w:u w:val="single"/>
        </w:rPr>
        <w:t xml:space="preserve">    %</w:t>
      </w:r>
      <w:r>
        <w:rPr>
          <w:rFonts w:ascii="宋体" w:hAnsi="宋体" w:cs="宋体"/>
          <w:kern w:val="1"/>
          <w:sz w:val="21"/>
          <w:szCs w:val="21"/>
        </w:rPr>
        <w:t>的产品价款。</w:t>
      </w:r>
      <w:r>
        <w:rPr>
          <w:rFonts w:hint="eastAsia" w:ascii="宋体" w:hAnsi="宋体" w:cs="宋体"/>
          <w:kern w:val="0"/>
          <w:sz w:val="21"/>
          <w:szCs w:val="21"/>
          <w:shd w:val="clear" w:color="auto" w:fill="FFFFFF"/>
        </w:rPr>
        <w:t>质保期过后，无质量问题由乙方申请，</w:t>
      </w:r>
      <w:r>
        <w:rPr>
          <w:rFonts w:hint="eastAsia" w:ascii="宋体" w:hAnsi="宋体" w:cs="宋体"/>
          <w:kern w:val="0"/>
          <w:sz w:val="21"/>
          <w:szCs w:val="21"/>
          <w:shd w:val="clear" w:color="auto" w:fill="FFFFFF"/>
          <w:lang w:val="en-US" w:eastAsia="zh-CN"/>
        </w:rPr>
        <w:t>甲方</w:t>
      </w:r>
      <w:r>
        <w:rPr>
          <w:rFonts w:hint="eastAsia" w:ascii="宋体" w:hAnsi="宋体" w:cs="宋体"/>
          <w:kern w:val="0"/>
          <w:sz w:val="21"/>
          <w:szCs w:val="21"/>
          <w:shd w:val="clear" w:color="auto" w:fill="FFFFFF"/>
        </w:rPr>
        <w:t>无息退还质保金。质保期为3年，3年内，非人为损坏，免费维修，3年内免费更换零件。</w:t>
      </w:r>
    </w:p>
    <w:p>
      <w:pPr>
        <w:spacing w:line="360" w:lineRule="auto"/>
        <w:rPr>
          <w:rFonts w:ascii="宋体" w:hAnsi="宋体" w:cs="宋体"/>
          <w:kern w:val="1"/>
          <w:sz w:val="21"/>
          <w:szCs w:val="21"/>
        </w:rPr>
      </w:pPr>
    </w:p>
    <w:p>
      <w:pPr>
        <w:spacing w:line="360" w:lineRule="auto"/>
        <w:rPr>
          <w:rFonts w:ascii="宋体" w:hAnsi="宋体" w:cs="宋体"/>
          <w:kern w:val="1"/>
          <w:sz w:val="21"/>
          <w:szCs w:val="21"/>
        </w:rPr>
      </w:pPr>
      <w:r>
        <w:rPr>
          <w:rFonts w:ascii="宋体" w:hAnsi="宋体" w:cs="宋体"/>
          <w:kern w:val="1"/>
          <w:sz w:val="21"/>
          <w:szCs w:val="21"/>
        </w:rPr>
        <w:t xml:space="preserve">    现场交付产品条件下，乙方要求付款应提交下列单证和文件。</w:t>
      </w:r>
    </w:p>
    <w:p>
      <w:pPr>
        <w:spacing w:line="360" w:lineRule="auto"/>
        <w:ind w:firstLine="420" w:firstLineChars="200"/>
        <w:rPr>
          <w:rFonts w:ascii="宋体" w:hAnsi="宋体" w:cs="宋体"/>
          <w:kern w:val="1"/>
          <w:sz w:val="21"/>
          <w:szCs w:val="21"/>
        </w:rPr>
      </w:pPr>
      <w:r>
        <w:rPr>
          <w:rFonts w:ascii="宋体" w:hAnsi="宋体" w:cs="宋体"/>
          <w:kern w:val="1"/>
          <w:sz w:val="21"/>
          <w:szCs w:val="21"/>
        </w:rPr>
        <w:t>a.金额为有关合同产品价格</w:t>
      </w:r>
      <w:r>
        <w:rPr>
          <w:rFonts w:ascii="宋体" w:hAnsi="宋体" w:cs="宋体"/>
          <w:kern w:val="1"/>
          <w:sz w:val="21"/>
          <w:szCs w:val="21"/>
          <w:u w:val="single"/>
        </w:rPr>
        <w:t xml:space="preserve">      %</w:t>
      </w:r>
      <w:r>
        <w:rPr>
          <w:rFonts w:ascii="宋体" w:hAnsi="宋体" w:cs="宋体"/>
          <w:kern w:val="1"/>
          <w:sz w:val="21"/>
          <w:szCs w:val="21"/>
        </w:rPr>
        <w:t>的正式发票。</w:t>
      </w:r>
    </w:p>
    <w:p>
      <w:pPr>
        <w:spacing w:line="360" w:lineRule="auto"/>
        <w:rPr>
          <w:rFonts w:ascii="宋体" w:hAnsi="宋体" w:cs="宋体"/>
          <w:kern w:val="1"/>
          <w:sz w:val="21"/>
          <w:szCs w:val="21"/>
        </w:rPr>
      </w:pPr>
      <w:r>
        <w:rPr>
          <w:rFonts w:ascii="宋体" w:hAnsi="宋体" w:cs="宋体"/>
          <w:kern w:val="1"/>
          <w:sz w:val="21"/>
          <w:szCs w:val="21"/>
        </w:rPr>
        <w:t xml:space="preserve"> b.制造厂家出具的产品质量合格证书。</w:t>
      </w:r>
    </w:p>
    <w:p>
      <w:pPr>
        <w:spacing w:line="360" w:lineRule="auto"/>
        <w:rPr>
          <w:rFonts w:ascii="宋体" w:hAnsi="宋体" w:cs="宋体"/>
          <w:kern w:val="1"/>
          <w:sz w:val="21"/>
          <w:szCs w:val="21"/>
        </w:rPr>
      </w:pPr>
      <w:r>
        <w:rPr>
          <w:rFonts w:ascii="宋体" w:hAnsi="宋体" w:cs="宋体"/>
          <w:kern w:val="1"/>
          <w:sz w:val="21"/>
          <w:szCs w:val="21"/>
        </w:rPr>
        <w:t xml:space="preserve"> c. 甲方已收讫产品的验收凭证。</w:t>
      </w:r>
    </w:p>
    <w:p>
      <w:pPr>
        <w:spacing w:line="360" w:lineRule="auto"/>
        <w:ind w:firstLine="0" w:firstLineChars="0"/>
        <w:rPr>
          <w:rFonts w:ascii="宋体" w:hAnsi="宋体" w:cs="宋体"/>
          <w:kern w:val="1"/>
          <w:sz w:val="21"/>
          <w:szCs w:val="21"/>
        </w:rPr>
      </w:pPr>
      <w:r>
        <w:rPr>
          <w:rFonts w:ascii="宋体" w:hAnsi="宋体" w:cs="宋体"/>
          <w:kern w:val="1"/>
          <w:sz w:val="21"/>
          <w:szCs w:val="21"/>
        </w:rPr>
        <w:t xml:space="preserve"> d. 甲方签发的验收合格文件。</w:t>
      </w:r>
    </w:p>
    <w:p>
      <w:pPr>
        <w:spacing w:line="360" w:lineRule="auto"/>
        <w:rPr>
          <w:rFonts w:ascii="宋体" w:hAnsi="宋体" w:cs="宋体"/>
          <w:kern w:val="1"/>
          <w:sz w:val="21"/>
          <w:szCs w:val="21"/>
        </w:rPr>
      </w:pPr>
      <w:r>
        <w:rPr>
          <w:rFonts w:ascii="宋体" w:hAnsi="宋体" w:cs="宋体"/>
          <w:kern w:val="1"/>
          <w:sz w:val="21"/>
          <w:szCs w:val="21"/>
        </w:rPr>
        <w:t xml:space="preserve">    4.2分期支付货款的，余下的货款应于（时间）支付。</w:t>
      </w:r>
    </w:p>
    <w:p>
      <w:pPr>
        <w:spacing w:line="360" w:lineRule="auto"/>
        <w:rPr>
          <w:rFonts w:ascii="宋体" w:hAnsi="宋体" w:cs="宋体"/>
          <w:kern w:val="1"/>
          <w:sz w:val="21"/>
          <w:szCs w:val="21"/>
        </w:rPr>
      </w:pPr>
      <w:r>
        <w:rPr>
          <w:rFonts w:ascii="宋体" w:hAnsi="宋体" w:cs="宋体"/>
          <w:kern w:val="1"/>
          <w:sz w:val="21"/>
          <w:szCs w:val="21"/>
        </w:rPr>
        <w:t>5、质量要求和技术标准</w:t>
      </w:r>
    </w:p>
    <w:p>
      <w:pPr>
        <w:spacing w:line="360" w:lineRule="auto"/>
        <w:ind w:firstLine="480"/>
        <w:rPr>
          <w:rFonts w:ascii="宋体" w:hAnsi="宋体" w:cs="宋体"/>
          <w:kern w:val="1"/>
          <w:sz w:val="21"/>
          <w:szCs w:val="21"/>
        </w:rPr>
      </w:pPr>
      <w:r>
        <w:rPr>
          <w:rFonts w:ascii="宋体" w:hAnsi="宋体" w:cs="宋体"/>
          <w:kern w:val="1"/>
          <w:sz w:val="21"/>
          <w:szCs w:val="21"/>
        </w:rPr>
        <w:t>质量条款可细分为产品质量、包装质量、技术资料质量等内容。</w:t>
      </w:r>
    </w:p>
    <w:p>
      <w:pPr>
        <w:spacing w:line="360" w:lineRule="auto"/>
        <w:ind w:firstLine="480"/>
        <w:rPr>
          <w:rFonts w:ascii="宋体" w:hAnsi="宋体" w:cs="宋体"/>
          <w:kern w:val="1"/>
          <w:sz w:val="21"/>
          <w:szCs w:val="21"/>
        </w:rPr>
      </w:pPr>
      <w:r>
        <w:rPr>
          <w:rFonts w:ascii="宋体" w:hAnsi="宋体" w:cs="宋体"/>
          <w:kern w:val="1"/>
          <w:sz w:val="21"/>
          <w:szCs w:val="21"/>
        </w:rPr>
        <w:t>（质量要求和技术标准应按</w:t>
      </w:r>
      <w:r>
        <w:rPr>
          <w:rFonts w:hint="eastAsia" w:ascii="宋体" w:hAnsi="宋体" w:cs="宋体"/>
          <w:kern w:val="1"/>
          <w:sz w:val="21"/>
          <w:szCs w:val="21"/>
        </w:rPr>
        <w:t>采购</w:t>
      </w:r>
      <w:r>
        <w:rPr>
          <w:rFonts w:ascii="宋体" w:hAnsi="宋体" w:cs="宋体"/>
          <w:kern w:val="1"/>
          <w:sz w:val="21"/>
          <w:szCs w:val="21"/>
        </w:rPr>
        <w:t>文件要求填列。）</w:t>
      </w:r>
    </w:p>
    <w:p>
      <w:pPr>
        <w:spacing w:line="360" w:lineRule="auto"/>
        <w:rPr>
          <w:rFonts w:ascii="宋体" w:hAnsi="宋体" w:cs="宋体"/>
          <w:kern w:val="1"/>
          <w:sz w:val="21"/>
          <w:szCs w:val="21"/>
        </w:rPr>
      </w:pPr>
      <w:r>
        <w:rPr>
          <w:rFonts w:ascii="宋体" w:hAnsi="宋体" w:cs="宋体"/>
          <w:kern w:val="1"/>
          <w:sz w:val="21"/>
          <w:szCs w:val="21"/>
        </w:rPr>
        <w:t>6、安装调试、技术服务、人员培训及技术资料</w:t>
      </w:r>
    </w:p>
    <w:p>
      <w:pPr>
        <w:spacing w:line="360" w:lineRule="auto"/>
        <w:rPr>
          <w:rFonts w:ascii="宋体" w:hAnsi="宋体" w:cs="宋体"/>
          <w:kern w:val="1"/>
          <w:sz w:val="21"/>
          <w:szCs w:val="21"/>
        </w:rPr>
      </w:pPr>
      <w:r>
        <w:rPr>
          <w:rFonts w:ascii="宋体" w:hAnsi="宋体" w:cs="宋体"/>
          <w:kern w:val="1"/>
          <w:sz w:val="21"/>
          <w:szCs w:val="21"/>
        </w:rPr>
        <w:t xml:space="preserve">  （ 安装调试、技术服务、人员培训及技术资料应按</w:t>
      </w:r>
      <w:r>
        <w:rPr>
          <w:rFonts w:hint="eastAsia" w:ascii="宋体" w:hAnsi="宋体" w:cs="宋体"/>
          <w:kern w:val="1"/>
          <w:sz w:val="21"/>
          <w:szCs w:val="21"/>
        </w:rPr>
        <w:t>采购</w:t>
      </w:r>
      <w:r>
        <w:rPr>
          <w:rFonts w:ascii="宋体" w:hAnsi="宋体" w:cs="宋体"/>
          <w:kern w:val="1"/>
          <w:sz w:val="21"/>
          <w:szCs w:val="21"/>
        </w:rPr>
        <w:t>文件要求填列。）</w:t>
      </w:r>
    </w:p>
    <w:p>
      <w:pPr>
        <w:spacing w:line="360" w:lineRule="auto"/>
        <w:rPr>
          <w:rFonts w:ascii="宋体" w:hAnsi="宋体" w:cs="宋体"/>
          <w:kern w:val="1"/>
          <w:sz w:val="21"/>
          <w:szCs w:val="21"/>
        </w:rPr>
      </w:pPr>
      <w:r>
        <w:rPr>
          <w:rFonts w:ascii="宋体" w:hAnsi="宋体" w:cs="宋体"/>
          <w:kern w:val="1"/>
          <w:sz w:val="21"/>
          <w:szCs w:val="21"/>
        </w:rPr>
        <w:t>7、验收</w:t>
      </w:r>
    </w:p>
    <w:p>
      <w:pPr>
        <w:spacing w:line="360" w:lineRule="auto"/>
        <w:ind w:firstLine="480"/>
        <w:rPr>
          <w:rFonts w:ascii="宋体" w:hAnsi="宋体" w:cs="宋体"/>
          <w:kern w:val="1"/>
          <w:sz w:val="21"/>
          <w:szCs w:val="21"/>
        </w:rPr>
      </w:pPr>
      <w:r>
        <w:rPr>
          <w:rFonts w:ascii="宋体" w:hAnsi="宋体" w:cs="宋体"/>
          <w:kern w:val="1"/>
          <w:sz w:val="21"/>
          <w:szCs w:val="21"/>
        </w:rPr>
        <w:t>（货物验收标准和方法应按</w:t>
      </w:r>
      <w:r>
        <w:rPr>
          <w:rFonts w:hint="eastAsia" w:ascii="宋体" w:hAnsi="宋体" w:cs="宋体"/>
          <w:kern w:val="1"/>
          <w:sz w:val="21"/>
          <w:szCs w:val="21"/>
        </w:rPr>
        <w:t>采购</w:t>
      </w:r>
      <w:r>
        <w:rPr>
          <w:rFonts w:ascii="宋体" w:hAnsi="宋体" w:cs="宋体"/>
          <w:kern w:val="1"/>
          <w:sz w:val="21"/>
          <w:szCs w:val="21"/>
        </w:rPr>
        <w:t>文件要求填列。）验收结果经双方确认后，双方代表必须按规定的验收交接单上的项目对照本合同填好验收结果并签名盖章。</w:t>
      </w:r>
    </w:p>
    <w:p>
      <w:pPr>
        <w:spacing w:line="360" w:lineRule="auto"/>
        <w:ind w:firstLine="480"/>
        <w:rPr>
          <w:rFonts w:ascii="宋体" w:hAnsi="宋体" w:cs="宋体"/>
          <w:kern w:val="1"/>
          <w:sz w:val="21"/>
          <w:szCs w:val="21"/>
        </w:rPr>
      </w:pPr>
      <w:r>
        <w:rPr>
          <w:rFonts w:ascii="宋体" w:hAnsi="宋体" w:cs="宋体"/>
          <w:kern w:val="1"/>
          <w:sz w:val="21"/>
          <w:szCs w:val="21"/>
        </w:rPr>
        <w:t>验收可细分为交付时的外在质量的验收，调试前的质量验收，大型产品可能还存在更多的验收步骤和验收方式，采购人可在</w:t>
      </w:r>
      <w:r>
        <w:rPr>
          <w:rFonts w:hint="eastAsia" w:ascii="宋体" w:hAnsi="宋体" w:cs="宋体"/>
          <w:kern w:val="1"/>
          <w:sz w:val="21"/>
          <w:szCs w:val="21"/>
        </w:rPr>
        <w:t>采购</w:t>
      </w:r>
      <w:r>
        <w:rPr>
          <w:rFonts w:ascii="宋体" w:hAnsi="宋体" w:cs="宋体"/>
          <w:kern w:val="1"/>
          <w:sz w:val="21"/>
          <w:szCs w:val="21"/>
        </w:rPr>
        <w:t>文件中细化规定。</w:t>
      </w:r>
    </w:p>
    <w:p>
      <w:pPr>
        <w:spacing w:line="360" w:lineRule="auto"/>
        <w:rPr>
          <w:rFonts w:ascii="宋体" w:hAnsi="宋体" w:cs="宋体"/>
          <w:kern w:val="1"/>
          <w:sz w:val="21"/>
          <w:szCs w:val="21"/>
        </w:rPr>
      </w:pPr>
      <w:r>
        <w:rPr>
          <w:rFonts w:ascii="宋体" w:hAnsi="宋体" w:cs="宋体"/>
          <w:kern w:val="1"/>
          <w:sz w:val="21"/>
          <w:szCs w:val="21"/>
        </w:rPr>
        <w:t>8、质量保证</w:t>
      </w:r>
    </w:p>
    <w:p>
      <w:pPr>
        <w:spacing w:line="360" w:lineRule="auto"/>
        <w:ind w:firstLine="480"/>
        <w:rPr>
          <w:rFonts w:ascii="宋体" w:hAnsi="宋体" w:cs="宋体"/>
          <w:kern w:val="1"/>
          <w:sz w:val="21"/>
          <w:szCs w:val="21"/>
        </w:rPr>
      </w:pPr>
      <w:r>
        <w:rPr>
          <w:rFonts w:ascii="宋体" w:hAnsi="宋体" w:cs="宋体"/>
          <w:kern w:val="1"/>
          <w:sz w:val="21"/>
          <w:szCs w:val="21"/>
        </w:rPr>
        <w:t>各合同包产品质保期要求均为产品经最终验收合格后 个月，在质量保证期内产品运行发生故障时，乙方在接到甲方故障通知后小时内应委派专业技术人员到现场免费提供咨询、维修和更换零部件等服务，并及时填写维修报告（包括故障原因、处理情况及甲方意见等）报甲方备案，若小时内无法排除故障，则应先提供同档次备用产品供甲方使用。其中发生一切费用由乙方承担。质量保证期内乙方有责任对产品进行不定期的巡查检修。</w:t>
      </w:r>
      <w:r>
        <w:rPr>
          <w:rFonts w:hint="eastAsia" w:ascii="宋体" w:hAnsi="宋体" w:cs="宋体"/>
          <w:kern w:val="1"/>
          <w:sz w:val="21"/>
          <w:szCs w:val="21"/>
        </w:rPr>
        <w:t>成交供应商</w:t>
      </w:r>
      <w:r>
        <w:rPr>
          <w:rFonts w:ascii="宋体" w:hAnsi="宋体" w:cs="宋体"/>
          <w:kern w:val="1"/>
          <w:sz w:val="21"/>
          <w:szCs w:val="21"/>
        </w:rPr>
        <w:t>视自身能力在</w:t>
      </w:r>
      <w:r>
        <w:rPr>
          <w:rFonts w:hint="eastAsia" w:ascii="宋体" w:hAnsi="宋体" w:cs="宋体"/>
          <w:kern w:val="1"/>
          <w:sz w:val="21"/>
          <w:szCs w:val="21"/>
        </w:rPr>
        <w:t>采购</w:t>
      </w:r>
      <w:r>
        <w:rPr>
          <w:rFonts w:ascii="宋体" w:hAnsi="宋体" w:cs="宋体"/>
          <w:kern w:val="1"/>
          <w:sz w:val="21"/>
          <w:szCs w:val="21"/>
        </w:rPr>
        <w:t>文件中提供更优、更合理的维修服务承诺。</w:t>
      </w:r>
    </w:p>
    <w:p>
      <w:pPr>
        <w:spacing w:line="360" w:lineRule="auto"/>
        <w:rPr>
          <w:rFonts w:ascii="宋体" w:hAnsi="宋体" w:cs="宋体"/>
          <w:kern w:val="1"/>
          <w:sz w:val="21"/>
          <w:szCs w:val="21"/>
        </w:rPr>
      </w:pPr>
      <w:r>
        <w:rPr>
          <w:rFonts w:ascii="宋体" w:hAnsi="宋体" w:cs="宋体"/>
          <w:kern w:val="1"/>
          <w:sz w:val="21"/>
          <w:szCs w:val="21"/>
        </w:rPr>
        <w:t>9、知识产权：</w:t>
      </w:r>
    </w:p>
    <w:p>
      <w:pPr>
        <w:spacing w:line="360" w:lineRule="auto"/>
        <w:ind w:firstLine="480"/>
        <w:rPr>
          <w:rFonts w:ascii="宋体" w:hAnsi="宋体" w:cs="宋体"/>
          <w:kern w:val="1"/>
          <w:sz w:val="21"/>
          <w:szCs w:val="21"/>
        </w:rPr>
      </w:pPr>
      <w:r>
        <w:rPr>
          <w:rFonts w:ascii="宋体" w:hAnsi="宋体" w:cs="宋体"/>
          <w:kern w:val="1"/>
          <w:sz w:val="21"/>
          <w:szCs w:val="21"/>
        </w:rPr>
        <w:t>乙方须保障甲方在使用该产品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spacing w:line="360" w:lineRule="auto"/>
        <w:rPr>
          <w:rFonts w:ascii="宋体" w:hAnsi="宋体" w:cs="宋体"/>
          <w:kern w:val="1"/>
          <w:sz w:val="21"/>
          <w:szCs w:val="21"/>
        </w:rPr>
      </w:pPr>
      <w:r>
        <w:rPr>
          <w:rFonts w:ascii="宋体" w:hAnsi="宋体" w:cs="宋体"/>
          <w:kern w:val="1"/>
          <w:sz w:val="21"/>
          <w:szCs w:val="21"/>
        </w:rPr>
        <w:t>10、违约责任</w:t>
      </w:r>
    </w:p>
    <w:p>
      <w:pPr>
        <w:spacing w:line="360" w:lineRule="auto"/>
        <w:ind w:firstLine="480"/>
        <w:rPr>
          <w:rFonts w:ascii="宋体" w:hAnsi="宋体" w:cs="宋体"/>
          <w:kern w:val="1"/>
          <w:sz w:val="21"/>
          <w:szCs w:val="21"/>
        </w:rPr>
      </w:pPr>
      <w:r>
        <w:rPr>
          <w:rFonts w:ascii="宋体" w:hAnsi="宋体" w:cs="宋体"/>
          <w:kern w:val="1"/>
          <w:sz w:val="21"/>
          <w:szCs w:val="21"/>
        </w:rPr>
        <w:t>10.1未按期交货的违约责任：</w:t>
      </w:r>
    </w:p>
    <w:p>
      <w:pPr>
        <w:spacing w:line="360" w:lineRule="auto"/>
        <w:jc w:val="left"/>
        <w:rPr>
          <w:rFonts w:ascii="宋体" w:hAnsi="宋体" w:cs="宋体"/>
          <w:kern w:val="1"/>
          <w:sz w:val="21"/>
          <w:szCs w:val="21"/>
          <w:u w:val="single"/>
        </w:rPr>
      </w:pPr>
    </w:p>
    <w:p>
      <w:pPr>
        <w:spacing w:line="360" w:lineRule="auto"/>
        <w:rPr>
          <w:rFonts w:ascii="宋体" w:hAnsi="宋体" w:cs="宋体"/>
          <w:kern w:val="1"/>
          <w:sz w:val="21"/>
          <w:szCs w:val="21"/>
        </w:rPr>
      </w:pPr>
      <w:r>
        <w:rPr>
          <w:rFonts w:ascii="宋体" w:hAnsi="宋体" w:cs="宋体"/>
          <w:kern w:val="1"/>
          <w:sz w:val="21"/>
          <w:szCs w:val="21"/>
        </w:rPr>
        <w:t>11、违约终止合同</w:t>
      </w:r>
    </w:p>
    <w:p>
      <w:pPr>
        <w:spacing w:line="360" w:lineRule="auto"/>
        <w:rPr>
          <w:rFonts w:ascii="宋体" w:hAnsi="宋体" w:cs="宋体"/>
          <w:kern w:val="1"/>
          <w:sz w:val="21"/>
          <w:szCs w:val="21"/>
        </w:rPr>
      </w:pPr>
      <w:r>
        <w:rPr>
          <w:rFonts w:ascii="宋体" w:hAnsi="宋体" w:cs="宋体"/>
          <w:kern w:val="1"/>
          <w:sz w:val="21"/>
          <w:szCs w:val="21"/>
        </w:rPr>
        <w:t xml:space="preserve">    11.1在补救违约而采取的任何其他措施未能实现的情况下，即在甲方发出的违约通知后30天内（或经甲方书面确认的更长时间内）仍未纠正其下述任何一种违约行为，甲方有权向乙方发出书面违约通知，甲方终止本合同：  </w:t>
      </w:r>
    </w:p>
    <w:p>
      <w:pPr>
        <w:spacing w:line="360" w:lineRule="auto"/>
        <w:rPr>
          <w:rFonts w:ascii="宋体" w:hAnsi="宋体" w:cs="宋体"/>
          <w:kern w:val="1"/>
          <w:sz w:val="21"/>
          <w:szCs w:val="21"/>
        </w:rPr>
      </w:pPr>
      <w:r>
        <w:rPr>
          <w:rFonts w:ascii="宋体" w:hAnsi="宋体" w:cs="宋体"/>
          <w:kern w:val="1"/>
          <w:sz w:val="21"/>
          <w:szCs w:val="21"/>
        </w:rPr>
        <w:t xml:space="preserve">    11.1.1如果乙方未能在合同规定的期限内或双方另行确定的延期交货时间内交付合同约定的货物。</w:t>
      </w:r>
    </w:p>
    <w:p>
      <w:pPr>
        <w:spacing w:line="360" w:lineRule="auto"/>
        <w:rPr>
          <w:rFonts w:ascii="宋体" w:hAnsi="宋体" w:cs="宋体"/>
          <w:kern w:val="1"/>
          <w:sz w:val="21"/>
          <w:szCs w:val="21"/>
        </w:rPr>
      </w:pPr>
      <w:r>
        <w:rPr>
          <w:rFonts w:ascii="宋体" w:hAnsi="宋体" w:cs="宋体"/>
          <w:kern w:val="1"/>
          <w:sz w:val="21"/>
          <w:szCs w:val="21"/>
        </w:rPr>
        <w:t xml:space="preserve">    11.1.2乙方未能履行合同项下的任何其他义务。</w:t>
      </w:r>
    </w:p>
    <w:p>
      <w:pPr>
        <w:spacing w:line="360" w:lineRule="auto"/>
        <w:ind w:firstLine="120"/>
        <w:rPr>
          <w:rFonts w:ascii="宋体" w:hAnsi="宋体" w:cs="宋体"/>
          <w:kern w:val="1"/>
          <w:sz w:val="21"/>
          <w:szCs w:val="21"/>
        </w:rPr>
      </w:pPr>
      <w:r>
        <w:rPr>
          <w:rFonts w:ascii="宋体" w:hAnsi="宋体" w:cs="宋体"/>
          <w:kern w:val="1"/>
          <w:sz w:val="21"/>
          <w:szCs w:val="21"/>
        </w:rPr>
        <w:t>12、不可抗力</w:t>
      </w:r>
    </w:p>
    <w:p>
      <w:pPr>
        <w:spacing w:line="360" w:lineRule="auto"/>
        <w:ind w:firstLine="480"/>
        <w:rPr>
          <w:rFonts w:ascii="宋体" w:hAnsi="宋体" w:cs="宋体"/>
          <w:kern w:val="1"/>
          <w:sz w:val="21"/>
          <w:szCs w:val="21"/>
        </w:rPr>
      </w:pPr>
      <w:r>
        <w:rPr>
          <w:rFonts w:ascii="宋体" w:hAnsi="宋体" w:cs="宋体"/>
          <w:kern w:val="1"/>
          <w:sz w:val="21"/>
          <w:szCs w:val="21"/>
        </w:rPr>
        <w:t>因不可抗力造成违约的，遭受不可抗力一方应及时向对方通报不能履行或不能完全履行的理由，并在随后取得有关主管机关证明后的15日内向另一方提供不可抗力发生以及持续期间的充分证据。基于以上行为，允许遭受不可抗力一方延期履行、部分履行或者不履行合同，并根据情况可部分或全部免于承担违约责任。</w:t>
      </w:r>
    </w:p>
    <w:p>
      <w:pPr>
        <w:spacing w:line="360" w:lineRule="auto"/>
        <w:ind w:firstLine="600"/>
        <w:rPr>
          <w:rFonts w:ascii="宋体" w:hAnsi="宋体" w:cs="宋体"/>
          <w:kern w:val="1"/>
          <w:sz w:val="21"/>
          <w:szCs w:val="21"/>
        </w:rPr>
      </w:pPr>
      <w:r>
        <w:rPr>
          <w:rFonts w:ascii="宋体" w:hAnsi="宋体" w:cs="宋体"/>
          <w:kern w:val="1"/>
          <w:sz w:val="21"/>
          <w:szCs w:val="21"/>
        </w:rPr>
        <w:t>本合同中的不可抗力指不能预见、不能避免并不能克服的客观情况。包括但不限于：自然灾害如地震、台风、洪水、火灾；政府行为、法律规定或其适用的变化或者其他任何无法预见、避免或者控制的事件。</w:t>
      </w:r>
    </w:p>
    <w:p>
      <w:pPr>
        <w:spacing w:line="360" w:lineRule="auto"/>
        <w:ind w:firstLine="120"/>
        <w:rPr>
          <w:rFonts w:ascii="宋体" w:hAnsi="宋体" w:cs="宋体"/>
          <w:kern w:val="1"/>
          <w:sz w:val="21"/>
          <w:szCs w:val="21"/>
        </w:rPr>
      </w:pPr>
      <w:r>
        <w:rPr>
          <w:rFonts w:ascii="宋体" w:hAnsi="宋体" w:cs="宋体"/>
          <w:kern w:val="1"/>
          <w:sz w:val="21"/>
          <w:szCs w:val="21"/>
        </w:rPr>
        <w:t>13、合同纠纷处理方式：因本合同或与本合同有关的一切事项发生争议，由双方友好协商解决。协商不成的，任何一方均可选择以下任一方式解决：</w:t>
      </w:r>
    </w:p>
    <w:p>
      <w:pPr>
        <w:spacing w:line="360" w:lineRule="auto"/>
        <w:rPr>
          <w:rFonts w:ascii="宋体" w:hAnsi="宋体" w:cs="宋体"/>
          <w:kern w:val="1"/>
          <w:sz w:val="21"/>
          <w:szCs w:val="21"/>
        </w:rPr>
      </w:pPr>
      <w:r>
        <w:rPr>
          <w:rFonts w:ascii="宋体" w:hAnsi="宋体" w:cs="宋体"/>
          <w:kern w:val="1"/>
          <w:sz w:val="21"/>
          <w:szCs w:val="21"/>
        </w:rPr>
        <w:t xml:space="preserve">（  ）向 </w:t>
      </w:r>
      <w:r>
        <w:rPr>
          <w:rFonts w:ascii="宋体" w:hAnsi="宋体" w:cs="宋体"/>
          <w:kern w:val="1"/>
          <w:sz w:val="21"/>
          <w:szCs w:val="21"/>
          <w:u w:val="single"/>
        </w:rPr>
        <w:t xml:space="preserve">      （甲方所在地）</w:t>
      </w:r>
      <w:r>
        <w:rPr>
          <w:rFonts w:ascii="宋体" w:hAnsi="宋体" w:cs="宋体"/>
          <w:kern w:val="1"/>
          <w:sz w:val="21"/>
          <w:szCs w:val="21"/>
        </w:rPr>
        <w:t>仲裁委员会申请仲裁；</w:t>
      </w:r>
    </w:p>
    <w:p>
      <w:pPr>
        <w:spacing w:line="360" w:lineRule="auto"/>
        <w:rPr>
          <w:rFonts w:ascii="宋体" w:hAnsi="宋体" w:cs="宋体"/>
          <w:kern w:val="1"/>
          <w:sz w:val="21"/>
          <w:szCs w:val="21"/>
        </w:rPr>
      </w:pPr>
      <w:r>
        <w:rPr>
          <w:rFonts w:ascii="宋体" w:hAnsi="宋体" w:cs="宋体"/>
          <w:kern w:val="1"/>
          <w:sz w:val="21"/>
          <w:szCs w:val="21"/>
        </w:rPr>
        <w:t>（  ）向有管辖权的人民法院提起诉讼。</w:t>
      </w:r>
    </w:p>
    <w:p>
      <w:pPr>
        <w:spacing w:line="360" w:lineRule="auto"/>
        <w:ind w:firstLine="120"/>
        <w:rPr>
          <w:rFonts w:ascii="宋体" w:hAnsi="宋体" w:cs="宋体"/>
          <w:kern w:val="1"/>
          <w:sz w:val="21"/>
          <w:szCs w:val="21"/>
        </w:rPr>
      </w:pPr>
      <w:r>
        <w:rPr>
          <w:rFonts w:ascii="宋体" w:hAnsi="宋体" w:cs="宋体"/>
          <w:kern w:val="1"/>
          <w:sz w:val="21"/>
          <w:szCs w:val="21"/>
        </w:rPr>
        <w:t>14、其他约定</w:t>
      </w:r>
    </w:p>
    <w:p>
      <w:pPr>
        <w:spacing w:line="360" w:lineRule="auto"/>
        <w:ind w:firstLine="600"/>
        <w:rPr>
          <w:rFonts w:ascii="宋体" w:hAnsi="宋体" w:cs="宋体"/>
          <w:kern w:val="1"/>
          <w:sz w:val="21"/>
          <w:szCs w:val="21"/>
        </w:rPr>
      </w:pPr>
      <w:r>
        <w:rPr>
          <w:rFonts w:ascii="宋体" w:hAnsi="宋体" w:cs="宋体"/>
          <w:kern w:val="1"/>
          <w:sz w:val="21"/>
          <w:szCs w:val="21"/>
        </w:rPr>
        <w:t>14.1本采购项目的</w:t>
      </w:r>
      <w:r>
        <w:rPr>
          <w:rFonts w:hint="eastAsia" w:ascii="宋体" w:hAnsi="宋体" w:cs="宋体"/>
          <w:kern w:val="1"/>
          <w:sz w:val="21"/>
          <w:szCs w:val="21"/>
        </w:rPr>
        <w:t>采购</w:t>
      </w:r>
      <w:r>
        <w:rPr>
          <w:rFonts w:ascii="宋体" w:hAnsi="宋体" w:cs="宋体"/>
          <w:kern w:val="1"/>
          <w:sz w:val="21"/>
          <w:szCs w:val="21"/>
        </w:rPr>
        <w:t>文件、</w:t>
      </w:r>
      <w:r>
        <w:rPr>
          <w:rFonts w:hint="eastAsia" w:ascii="宋体" w:hAnsi="宋体" w:cs="宋体"/>
          <w:kern w:val="1"/>
          <w:sz w:val="21"/>
          <w:szCs w:val="21"/>
        </w:rPr>
        <w:t>成交供应商</w:t>
      </w:r>
      <w:r>
        <w:rPr>
          <w:rFonts w:ascii="宋体" w:hAnsi="宋体" w:cs="宋体"/>
          <w:kern w:val="1"/>
          <w:sz w:val="21"/>
          <w:szCs w:val="21"/>
        </w:rPr>
        <w:t>的</w:t>
      </w:r>
      <w:r>
        <w:rPr>
          <w:rFonts w:hint="eastAsia" w:ascii="宋体" w:hAnsi="宋体" w:cs="宋体"/>
          <w:kern w:val="1"/>
          <w:sz w:val="21"/>
          <w:szCs w:val="21"/>
        </w:rPr>
        <w:t>响应</w:t>
      </w:r>
      <w:r>
        <w:rPr>
          <w:rFonts w:ascii="宋体" w:hAnsi="宋体" w:cs="宋体"/>
          <w:kern w:val="1"/>
          <w:sz w:val="21"/>
          <w:szCs w:val="21"/>
        </w:rPr>
        <w:t>文件以及相关的澄清确认函（如果有的话）均为本合同不可分割的一部分，与本合同具有同等法律效力。</w:t>
      </w:r>
    </w:p>
    <w:p>
      <w:pPr>
        <w:spacing w:line="360" w:lineRule="auto"/>
        <w:rPr>
          <w:rFonts w:ascii="宋体" w:hAnsi="宋体" w:cs="宋体"/>
          <w:kern w:val="1"/>
          <w:sz w:val="21"/>
          <w:szCs w:val="21"/>
        </w:rPr>
      </w:pPr>
      <w:r>
        <w:rPr>
          <w:rFonts w:ascii="宋体" w:hAnsi="宋体" w:cs="宋体"/>
          <w:kern w:val="1"/>
          <w:sz w:val="21"/>
          <w:szCs w:val="21"/>
        </w:rPr>
        <w:t xml:space="preserve">     14.2本合同未尽事宜，双方另行补充。</w:t>
      </w:r>
    </w:p>
    <w:p>
      <w:pPr>
        <w:spacing w:line="360" w:lineRule="auto"/>
        <w:rPr>
          <w:rFonts w:ascii="宋体" w:hAnsi="宋体" w:cs="宋体"/>
          <w:kern w:val="1"/>
          <w:sz w:val="21"/>
          <w:szCs w:val="21"/>
        </w:rPr>
      </w:pPr>
      <w:r>
        <w:rPr>
          <w:rFonts w:ascii="宋体" w:hAnsi="宋体" w:cs="宋体"/>
          <w:kern w:val="1"/>
          <w:sz w:val="21"/>
          <w:szCs w:val="21"/>
        </w:rPr>
        <w:t xml:space="preserve">     14.3本合同一式三份，经双方授权代表签字并加盖公章后生效。甲方、乙方各执一份，送招标代理机构各备案一份，具有同等效力。</w:t>
      </w:r>
    </w:p>
    <w:p>
      <w:pPr>
        <w:spacing w:line="360" w:lineRule="auto"/>
        <w:ind w:firstLine="480"/>
        <w:rPr>
          <w:rFonts w:ascii="宋体" w:hAnsi="宋体" w:cs="宋体"/>
          <w:kern w:val="1"/>
          <w:sz w:val="21"/>
          <w:szCs w:val="21"/>
        </w:rPr>
      </w:pPr>
      <w:r>
        <w:rPr>
          <w:rFonts w:ascii="宋体" w:hAnsi="宋体" w:cs="宋体"/>
          <w:kern w:val="1"/>
          <w:sz w:val="21"/>
          <w:szCs w:val="21"/>
        </w:rPr>
        <w:t>14.4甲方应当自合同签订之日起2个工作日内，将合同</w:t>
      </w:r>
      <w:r>
        <w:rPr>
          <w:rFonts w:hint="eastAsia" w:ascii="宋体" w:hAnsi="宋体" w:cs="宋体"/>
          <w:kern w:val="1"/>
          <w:sz w:val="21"/>
          <w:szCs w:val="21"/>
        </w:rPr>
        <w:t>指定媒体</w:t>
      </w:r>
      <w:r>
        <w:rPr>
          <w:rFonts w:ascii="宋体" w:hAnsi="宋体" w:cs="宋体"/>
          <w:kern w:val="1"/>
          <w:sz w:val="21"/>
          <w:szCs w:val="21"/>
        </w:rPr>
        <w:t>上公告，但合同中涉及国家秘密、商业秘密的内容除外。</w:t>
      </w:r>
    </w:p>
    <w:p>
      <w:pPr>
        <w:spacing w:line="360" w:lineRule="auto"/>
        <w:ind w:firstLine="420" w:firstLineChars="200"/>
        <w:rPr>
          <w:rFonts w:ascii="宋体" w:hAnsi="宋体" w:cs="宋体"/>
          <w:kern w:val="1"/>
          <w:sz w:val="21"/>
          <w:szCs w:val="21"/>
        </w:rPr>
      </w:pPr>
    </w:p>
    <w:p>
      <w:pPr>
        <w:spacing w:line="360" w:lineRule="auto"/>
        <w:ind w:firstLine="420" w:firstLineChars="200"/>
        <w:rPr>
          <w:rFonts w:ascii="宋体" w:hAnsi="宋体" w:cs="宋体"/>
          <w:kern w:val="1"/>
          <w:sz w:val="21"/>
          <w:szCs w:val="21"/>
        </w:rPr>
      </w:pPr>
      <w:r>
        <w:rPr>
          <w:rFonts w:ascii="宋体" w:hAnsi="宋体" w:cs="宋体"/>
          <w:kern w:val="1"/>
          <w:sz w:val="21"/>
          <w:szCs w:val="21"/>
        </w:rPr>
        <w:t>甲    方：                            乙    方：</w:t>
      </w:r>
    </w:p>
    <w:p>
      <w:pPr>
        <w:spacing w:line="360" w:lineRule="auto"/>
        <w:ind w:firstLine="420" w:firstLineChars="200"/>
        <w:rPr>
          <w:rFonts w:ascii="宋体" w:hAnsi="宋体" w:cs="宋体"/>
          <w:kern w:val="1"/>
          <w:sz w:val="21"/>
          <w:szCs w:val="21"/>
        </w:rPr>
      </w:pPr>
      <w:r>
        <w:rPr>
          <w:rFonts w:ascii="宋体" w:hAnsi="宋体" w:cs="宋体"/>
          <w:kern w:val="1"/>
          <w:sz w:val="21"/>
          <w:szCs w:val="21"/>
        </w:rPr>
        <w:t>单位地址：                            单位地址：</w:t>
      </w:r>
    </w:p>
    <w:p>
      <w:pPr>
        <w:spacing w:line="360" w:lineRule="auto"/>
        <w:ind w:firstLine="420" w:firstLineChars="200"/>
        <w:rPr>
          <w:rFonts w:ascii="宋体" w:hAnsi="宋体" w:cs="宋体"/>
          <w:kern w:val="1"/>
          <w:sz w:val="21"/>
          <w:szCs w:val="21"/>
        </w:rPr>
      </w:pPr>
      <w:r>
        <w:rPr>
          <w:rFonts w:ascii="宋体" w:hAnsi="宋体" w:cs="宋体"/>
          <w:kern w:val="1"/>
          <w:sz w:val="21"/>
          <w:szCs w:val="21"/>
        </w:rPr>
        <w:t>法定代表人：                          法定代表人：</w:t>
      </w:r>
    </w:p>
    <w:p>
      <w:pPr>
        <w:spacing w:line="360" w:lineRule="auto"/>
        <w:ind w:firstLine="420" w:firstLineChars="200"/>
        <w:rPr>
          <w:rFonts w:ascii="宋体" w:hAnsi="宋体" w:cs="宋体"/>
          <w:kern w:val="1"/>
          <w:sz w:val="21"/>
          <w:szCs w:val="21"/>
        </w:rPr>
      </w:pPr>
      <w:r>
        <w:rPr>
          <w:rFonts w:ascii="宋体" w:hAnsi="宋体" w:cs="宋体"/>
          <w:kern w:val="1"/>
          <w:sz w:val="21"/>
          <w:szCs w:val="21"/>
        </w:rPr>
        <w:t>委托代理人：                          委托代理人：</w:t>
      </w:r>
    </w:p>
    <w:p>
      <w:pPr>
        <w:spacing w:line="360" w:lineRule="auto"/>
        <w:ind w:firstLine="420" w:firstLineChars="200"/>
        <w:rPr>
          <w:rFonts w:ascii="宋体" w:hAnsi="宋体" w:cs="宋体"/>
          <w:kern w:val="1"/>
          <w:sz w:val="21"/>
          <w:szCs w:val="21"/>
        </w:rPr>
      </w:pPr>
      <w:r>
        <w:rPr>
          <w:rFonts w:ascii="宋体" w:hAnsi="宋体" w:cs="宋体"/>
          <w:kern w:val="1"/>
          <w:sz w:val="21"/>
          <w:szCs w:val="21"/>
        </w:rPr>
        <w:t xml:space="preserve">电    话：                            电    话：                       </w:t>
      </w:r>
    </w:p>
    <w:p>
      <w:pPr>
        <w:spacing w:line="360" w:lineRule="auto"/>
        <w:ind w:firstLine="420" w:firstLineChars="200"/>
        <w:rPr>
          <w:rFonts w:ascii="宋体" w:hAnsi="宋体" w:cs="宋体"/>
          <w:kern w:val="1"/>
          <w:sz w:val="21"/>
          <w:szCs w:val="21"/>
        </w:rPr>
      </w:pPr>
      <w:r>
        <w:rPr>
          <w:rFonts w:ascii="宋体" w:hAnsi="宋体" w:cs="宋体"/>
          <w:kern w:val="1"/>
          <w:sz w:val="21"/>
          <w:szCs w:val="21"/>
        </w:rPr>
        <w:t>开户银行：                            开户银行：</w:t>
      </w:r>
    </w:p>
    <w:p>
      <w:pPr>
        <w:ind w:firstLine="420" w:firstLineChars="200"/>
      </w:pPr>
      <w:r>
        <w:rPr>
          <w:rFonts w:ascii="宋体" w:hAnsi="宋体" w:cs="宋体"/>
          <w:kern w:val="1"/>
          <w:sz w:val="21"/>
          <w:szCs w:val="21"/>
        </w:rPr>
        <w:t>账    号：                            账    号：</w:t>
      </w:r>
    </w:p>
    <w:bookmarkEnd w:id="68"/>
    <w:p>
      <w:pPr>
        <w:pStyle w:val="6"/>
        <w:ind w:left="0" w:leftChars="0" w:firstLine="0" w:firstLineChars="0"/>
        <w:jc w:val="both"/>
        <w:rPr>
          <w:rFonts w:hint="eastAsia"/>
          <w:sz w:val="36"/>
          <w:szCs w:val="36"/>
          <w:lang w:val="en-US" w:eastAsia="zh-CN"/>
        </w:rPr>
      </w:pPr>
      <w:bookmarkStart w:id="69" w:name="_Toc29615"/>
    </w:p>
    <w:p>
      <w:pPr>
        <w:rPr>
          <w:rFonts w:hint="eastAsia"/>
          <w:sz w:val="36"/>
          <w:szCs w:val="36"/>
        </w:rPr>
      </w:pPr>
      <w:r>
        <w:rPr>
          <w:rFonts w:hint="eastAsia"/>
          <w:sz w:val="36"/>
          <w:szCs w:val="36"/>
        </w:rPr>
        <w:br w:type="page"/>
      </w:r>
    </w:p>
    <w:p>
      <w:pPr>
        <w:pStyle w:val="6"/>
        <w:ind w:left="0" w:leftChars="0" w:firstLine="2168" w:firstLineChars="600"/>
        <w:jc w:val="both"/>
        <w:rPr>
          <w:rFonts w:ascii="宋体" w:hAnsi="宋体"/>
        </w:rPr>
      </w:pPr>
      <w:r>
        <w:rPr>
          <w:rFonts w:hint="eastAsia"/>
          <w:sz w:val="36"/>
          <w:szCs w:val="36"/>
        </w:rPr>
        <w:t>第五章  磋商响应文件格式</w:t>
      </w:r>
    </w:p>
    <w:tbl>
      <w:tblPr>
        <w:tblStyle w:val="24"/>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Layout w:type="fixed"/>
          <w:tblCellMar>
            <w:top w:w="0" w:type="dxa"/>
            <w:left w:w="108" w:type="dxa"/>
            <w:bottom w:w="0" w:type="dxa"/>
            <w:right w:w="108" w:type="dxa"/>
          </w:tblCellMar>
        </w:tblPrEx>
        <w:trPr>
          <w:trHeight w:val="195" w:hRule="atLeast"/>
        </w:trPr>
        <w:tc>
          <w:tcPr>
            <w:tcW w:w="8190" w:type="dxa"/>
          </w:tcPr>
          <w:p>
            <w:pPr>
              <w:spacing w:before="120" w:line="360" w:lineRule="auto"/>
              <w:rPr>
                <w:rFonts w:ascii="宋体" w:hAnsi="宋体"/>
                <w:sz w:val="24"/>
              </w:rPr>
            </w:pPr>
            <w:r>
              <w:rPr>
                <w:rFonts w:hint="eastAsia" w:ascii="宋体" w:hAnsi="宋体"/>
                <w:sz w:val="24"/>
              </w:rPr>
              <w:t>注释：</w:t>
            </w:r>
          </w:p>
          <w:p>
            <w:pPr>
              <w:spacing w:before="120" w:line="360" w:lineRule="auto"/>
              <w:ind w:right="132" w:firstLine="480"/>
              <w:rPr>
                <w:rFonts w:ascii="宋体" w:hAnsi="宋体"/>
                <w:sz w:val="24"/>
              </w:rPr>
            </w:pPr>
            <w:r>
              <w:rPr>
                <w:rFonts w:hint="eastAsia" w:ascii="宋体" w:hAnsi="宋体"/>
                <w:sz w:val="24"/>
              </w:rPr>
              <w:t>《磋商响应文件格式》是磋商响应供应商的部分磋商响应文件格式和签定合同时所需文件的格式。磋商响应供应商应参照这些格式文件制作磋商响应文件。</w:t>
            </w:r>
          </w:p>
        </w:tc>
      </w:tr>
    </w:tbl>
    <w:p>
      <w:pPr>
        <w:pStyle w:val="26"/>
        <w:spacing w:line="360" w:lineRule="auto"/>
        <w:rPr>
          <w:rFonts w:hAnsi="宋体"/>
          <w:color w:val="auto"/>
          <w:sz w:val="20"/>
        </w:rPr>
      </w:pPr>
    </w:p>
    <w:p>
      <w:pPr>
        <w:rPr>
          <w:rFonts w:hint="eastAsia"/>
          <w:sz w:val="36"/>
          <w:szCs w:val="36"/>
        </w:rPr>
      </w:pPr>
      <w:r>
        <w:rPr>
          <w:rFonts w:hint="eastAsia"/>
          <w:sz w:val="36"/>
          <w:szCs w:val="36"/>
        </w:rPr>
        <w:br w:type="page"/>
      </w:r>
    </w:p>
    <w:bookmarkEnd w:id="43"/>
    <w:bookmarkEnd w:id="69"/>
    <w:p>
      <w:pPr>
        <w:spacing w:line="360" w:lineRule="auto"/>
        <w:jc w:val="center"/>
        <w:rPr>
          <w:rFonts w:ascii="宋体" w:hAnsi="宋体"/>
          <w:b/>
          <w:sz w:val="72"/>
        </w:rPr>
      </w:pPr>
      <w:r>
        <w:rPr>
          <w:rFonts w:hint="eastAsia" w:ascii="宋体" w:hAnsi="宋体"/>
          <w:b/>
          <w:sz w:val="72"/>
        </w:rPr>
        <w:t>磋 商 响 应 文 件</w:t>
      </w: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jc w:val="center"/>
        <w:rPr>
          <w:rFonts w:ascii="宋体" w:hAnsi="宋体"/>
          <w:b/>
          <w:sz w:val="36"/>
        </w:rPr>
      </w:pPr>
    </w:p>
    <w:p>
      <w:pPr>
        <w:spacing w:line="360" w:lineRule="auto"/>
        <w:ind w:firstLine="1084" w:firstLineChars="300"/>
        <w:rPr>
          <w:rFonts w:ascii="宋体" w:hAnsi="宋体"/>
          <w:b/>
          <w:sz w:val="36"/>
        </w:rPr>
      </w:pPr>
      <w:r>
        <w:rPr>
          <w:rFonts w:hint="eastAsia" w:ascii="宋体" w:hAnsi="宋体"/>
          <w:b/>
          <w:sz w:val="36"/>
        </w:rPr>
        <w:t>项 目 名 称：</w:t>
      </w:r>
      <w:r>
        <w:rPr>
          <w:rFonts w:hint="eastAsia" w:ascii="宋体" w:hAnsi="宋体"/>
          <w:b/>
          <w:sz w:val="36"/>
          <w:u w:val="single"/>
        </w:rPr>
        <w:t xml:space="preserve">               </w:t>
      </w:r>
    </w:p>
    <w:p>
      <w:pPr>
        <w:spacing w:line="360" w:lineRule="auto"/>
        <w:ind w:firstLine="1084" w:firstLineChars="300"/>
        <w:rPr>
          <w:rFonts w:ascii="宋体" w:hAnsi="宋体"/>
          <w:b/>
          <w:sz w:val="36"/>
          <w:u w:val="single"/>
        </w:rPr>
      </w:pPr>
      <w:r>
        <w:rPr>
          <w:rFonts w:hint="eastAsia" w:ascii="宋体" w:hAnsi="宋体"/>
          <w:b/>
          <w:sz w:val="36"/>
        </w:rPr>
        <w:t>项 目 编 号：</w:t>
      </w:r>
      <w:r>
        <w:rPr>
          <w:rFonts w:hint="eastAsia" w:ascii="宋体" w:hAnsi="宋体"/>
          <w:b/>
          <w:sz w:val="36"/>
          <w:u w:val="single"/>
        </w:rPr>
        <w:t xml:space="preserve">               </w:t>
      </w: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u w:val="single"/>
        </w:rPr>
      </w:pPr>
      <w:r>
        <w:rPr>
          <w:rFonts w:hint="eastAsia" w:ascii="宋体" w:hAnsi="宋体"/>
          <w:b/>
          <w:sz w:val="36"/>
        </w:rPr>
        <w:t xml:space="preserve">       磋商响应供应商名称 ：</w:t>
      </w:r>
      <w:r>
        <w:rPr>
          <w:rFonts w:hint="eastAsia" w:ascii="宋体" w:hAnsi="宋体"/>
          <w:b/>
          <w:sz w:val="36"/>
          <w:u w:val="single"/>
        </w:rPr>
        <w:t xml:space="preserve">               </w:t>
      </w:r>
    </w:p>
    <w:p>
      <w:pPr>
        <w:spacing w:line="360" w:lineRule="auto"/>
        <w:rPr>
          <w:rFonts w:ascii="宋体" w:hAnsi="宋体"/>
          <w:b/>
          <w:sz w:val="36"/>
        </w:rPr>
      </w:pPr>
      <w:r>
        <w:rPr>
          <w:rFonts w:hint="eastAsia" w:ascii="宋体" w:hAnsi="宋体"/>
          <w:b/>
          <w:sz w:val="36"/>
        </w:rPr>
        <w:t xml:space="preserve">       日      期 ：</w:t>
      </w:r>
      <w:r>
        <w:rPr>
          <w:rFonts w:hint="eastAsia" w:ascii="宋体" w:hAnsi="宋体"/>
          <w:b/>
          <w:sz w:val="36"/>
          <w:u w:val="single"/>
        </w:rPr>
        <w:t xml:space="preserve">               </w:t>
      </w:r>
    </w:p>
    <w:p>
      <w:pPr>
        <w:jc w:val="center"/>
        <w:rPr>
          <w:b/>
          <w:sz w:val="36"/>
          <w:szCs w:val="36"/>
        </w:rPr>
      </w:pPr>
      <w:r>
        <w:rPr>
          <w:rFonts w:hAnsi="宋体"/>
          <w:b/>
          <w:bCs/>
          <w:sz w:val="32"/>
        </w:rPr>
        <w:br w:type="page"/>
      </w:r>
      <w:r>
        <w:rPr>
          <w:rFonts w:hint="eastAsia"/>
          <w:b/>
          <w:sz w:val="32"/>
          <w:szCs w:val="32"/>
        </w:rPr>
        <w:t>目    录</w:t>
      </w:r>
    </w:p>
    <w:p>
      <w:pPr>
        <w:shd w:val="clear" w:color="auto" w:fill="FFFFFF"/>
        <w:jc w:val="center"/>
        <w:rPr>
          <w:rFonts w:hAnsi="宋体"/>
          <w:b/>
          <w:bCs/>
          <w:sz w:val="24"/>
        </w:rPr>
      </w:pPr>
      <w:r>
        <w:rPr>
          <w:rFonts w:hint="eastAsia" w:hAnsi="宋体"/>
          <w:b/>
          <w:bCs/>
          <w:sz w:val="24"/>
        </w:rPr>
        <w:t>（磋商供应商根据项目实际需求进行目录编制）</w:t>
      </w:r>
    </w:p>
    <w:p>
      <w:pPr>
        <w:shd w:val="clear" w:color="auto" w:fill="FFFFFF"/>
        <w:jc w:val="center"/>
        <w:rPr>
          <w:rFonts w:hAnsi="宋体"/>
          <w:b/>
          <w:bCs/>
        </w:rPr>
      </w:pPr>
    </w:p>
    <w:p>
      <w:pPr>
        <w:spacing w:line="540" w:lineRule="exact"/>
        <w:rPr>
          <w:rFonts w:ascii="宋体" w:hAnsi="宋体"/>
          <w:sz w:val="21"/>
          <w:szCs w:val="21"/>
        </w:rPr>
      </w:pPr>
      <w:r>
        <w:rPr>
          <w:rFonts w:hint="eastAsia" w:ascii="宋体" w:hAnsi="宋体"/>
          <w:sz w:val="21"/>
          <w:szCs w:val="21"/>
        </w:rPr>
        <w:t>1. 磋商响应声明函</w:t>
      </w:r>
    </w:p>
    <w:p>
      <w:pPr>
        <w:spacing w:line="540" w:lineRule="exact"/>
        <w:rPr>
          <w:rFonts w:ascii="宋体" w:hAnsi="宋体"/>
          <w:sz w:val="21"/>
          <w:szCs w:val="21"/>
        </w:rPr>
      </w:pPr>
      <w:r>
        <w:rPr>
          <w:rFonts w:hint="eastAsia" w:ascii="宋体" w:hAnsi="宋体"/>
          <w:sz w:val="21"/>
          <w:szCs w:val="21"/>
        </w:rPr>
        <w:t>2. 报价一览表</w:t>
      </w:r>
    </w:p>
    <w:p>
      <w:pPr>
        <w:spacing w:line="540" w:lineRule="exact"/>
        <w:rPr>
          <w:rFonts w:ascii="宋体" w:hAnsi="宋体"/>
          <w:sz w:val="21"/>
          <w:szCs w:val="21"/>
        </w:rPr>
      </w:pPr>
      <w:r>
        <w:rPr>
          <w:rFonts w:hint="eastAsia" w:ascii="宋体" w:hAnsi="宋体"/>
          <w:sz w:val="21"/>
          <w:szCs w:val="21"/>
        </w:rPr>
        <w:t>3. 分项报价表</w:t>
      </w:r>
    </w:p>
    <w:p>
      <w:pPr>
        <w:spacing w:line="540" w:lineRule="exact"/>
        <w:rPr>
          <w:rFonts w:ascii="宋体" w:hAnsi="宋体"/>
          <w:sz w:val="21"/>
          <w:szCs w:val="21"/>
        </w:rPr>
      </w:pPr>
      <w:r>
        <w:rPr>
          <w:rFonts w:hint="eastAsia" w:ascii="宋体" w:hAnsi="宋体"/>
          <w:sz w:val="21"/>
          <w:szCs w:val="21"/>
        </w:rPr>
        <w:t>4. 货物说明一览表</w:t>
      </w:r>
    </w:p>
    <w:p>
      <w:pPr>
        <w:spacing w:line="540" w:lineRule="exact"/>
        <w:rPr>
          <w:rFonts w:ascii="宋体" w:hAnsi="宋体"/>
          <w:sz w:val="21"/>
          <w:szCs w:val="21"/>
        </w:rPr>
      </w:pPr>
      <w:r>
        <w:rPr>
          <w:rFonts w:hint="eastAsia" w:ascii="宋体" w:hAnsi="宋体"/>
          <w:sz w:val="21"/>
          <w:szCs w:val="21"/>
        </w:rPr>
        <w:t>5. 供货范围清单</w:t>
      </w:r>
    </w:p>
    <w:p>
      <w:pPr>
        <w:spacing w:line="540" w:lineRule="exact"/>
        <w:rPr>
          <w:rFonts w:ascii="宋体" w:hAnsi="宋体"/>
          <w:sz w:val="21"/>
          <w:szCs w:val="21"/>
        </w:rPr>
      </w:pPr>
      <w:r>
        <w:rPr>
          <w:rFonts w:hint="eastAsia" w:ascii="宋体" w:hAnsi="宋体"/>
          <w:sz w:val="21"/>
          <w:szCs w:val="21"/>
        </w:rPr>
        <w:t>6. 重要条款（带★条款）响应表</w:t>
      </w:r>
    </w:p>
    <w:p>
      <w:pPr>
        <w:spacing w:line="540" w:lineRule="exact"/>
        <w:rPr>
          <w:rFonts w:ascii="宋体" w:hAnsi="宋体"/>
          <w:sz w:val="21"/>
          <w:szCs w:val="21"/>
        </w:rPr>
      </w:pPr>
      <w:r>
        <w:rPr>
          <w:rFonts w:hint="eastAsia" w:ascii="宋体" w:hAnsi="宋体"/>
          <w:sz w:val="21"/>
          <w:szCs w:val="21"/>
        </w:rPr>
        <w:t>7. 技术规格和商务偏离表</w:t>
      </w:r>
    </w:p>
    <w:p>
      <w:pPr>
        <w:spacing w:line="540" w:lineRule="exact"/>
        <w:rPr>
          <w:rFonts w:ascii="宋体" w:hAnsi="宋体"/>
          <w:sz w:val="21"/>
          <w:szCs w:val="21"/>
        </w:rPr>
      </w:pPr>
      <w:r>
        <w:rPr>
          <w:rFonts w:hint="eastAsia" w:ascii="宋体" w:hAnsi="宋体"/>
          <w:sz w:val="21"/>
          <w:szCs w:val="21"/>
        </w:rPr>
        <w:t>8. 磋商响应供应商的资格证明文件</w:t>
      </w:r>
    </w:p>
    <w:p>
      <w:pPr>
        <w:spacing w:line="540" w:lineRule="exact"/>
        <w:ind w:firstLine="420" w:firstLineChars="200"/>
        <w:rPr>
          <w:rFonts w:ascii="宋体" w:hAnsi="宋体"/>
          <w:sz w:val="21"/>
          <w:szCs w:val="21"/>
        </w:rPr>
      </w:pPr>
      <w:r>
        <w:rPr>
          <w:rFonts w:hint="eastAsia" w:ascii="宋体" w:hAnsi="宋体"/>
          <w:sz w:val="21"/>
          <w:szCs w:val="21"/>
        </w:rPr>
        <w:t>关于资格的声明函</w:t>
      </w:r>
    </w:p>
    <w:p>
      <w:pPr>
        <w:spacing w:line="540" w:lineRule="exact"/>
        <w:ind w:firstLine="420" w:firstLineChars="200"/>
        <w:rPr>
          <w:rFonts w:ascii="宋体" w:hAnsi="宋体"/>
          <w:sz w:val="21"/>
          <w:szCs w:val="21"/>
        </w:rPr>
      </w:pPr>
      <w:r>
        <w:rPr>
          <w:rFonts w:hint="eastAsia" w:ascii="宋体" w:hAnsi="宋体"/>
          <w:sz w:val="21"/>
          <w:szCs w:val="21"/>
        </w:rPr>
        <w:t>磋商响应供应商的资格声明</w:t>
      </w:r>
    </w:p>
    <w:p>
      <w:pPr>
        <w:spacing w:line="540" w:lineRule="exact"/>
        <w:ind w:firstLine="420" w:firstLineChars="200"/>
        <w:rPr>
          <w:rFonts w:ascii="宋体" w:hAnsi="宋体"/>
          <w:sz w:val="21"/>
          <w:szCs w:val="21"/>
        </w:rPr>
      </w:pPr>
      <w:r>
        <w:rPr>
          <w:rFonts w:hint="eastAsia" w:ascii="宋体" w:hAnsi="宋体"/>
          <w:sz w:val="21"/>
          <w:szCs w:val="21"/>
        </w:rPr>
        <w:t>资格审查表</w:t>
      </w:r>
    </w:p>
    <w:p>
      <w:pPr>
        <w:spacing w:line="540" w:lineRule="exact"/>
        <w:ind w:firstLine="420" w:firstLineChars="200"/>
        <w:rPr>
          <w:rFonts w:ascii="宋体" w:hAnsi="宋体"/>
          <w:sz w:val="21"/>
          <w:szCs w:val="21"/>
        </w:rPr>
      </w:pPr>
      <w:r>
        <w:rPr>
          <w:rFonts w:hint="eastAsia" w:ascii="宋体" w:hAnsi="宋体"/>
          <w:sz w:val="21"/>
          <w:szCs w:val="21"/>
        </w:rPr>
        <w:t>法人营业执照、税务登记证</w:t>
      </w:r>
    </w:p>
    <w:p>
      <w:pPr>
        <w:spacing w:line="540" w:lineRule="exact"/>
        <w:ind w:firstLine="420" w:firstLineChars="200"/>
        <w:rPr>
          <w:rFonts w:ascii="宋体" w:hAnsi="宋体"/>
          <w:sz w:val="21"/>
          <w:szCs w:val="21"/>
        </w:rPr>
      </w:pPr>
      <w:r>
        <w:rPr>
          <w:rFonts w:hint="eastAsia" w:ascii="宋体" w:hAnsi="宋体"/>
          <w:sz w:val="21"/>
          <w:szCs w:val="21"/>
        </w:rPr>
        <w:t>财务状况、纳税证明、社保资金证明</w:t>
      </w:r>
    </w:p>
    <w:p>
      <w:pPr>
        <w:spacing w:line="540" w:lineRule="exact"/>
        <w:ind w:firstLine="420" w:firstLineChars="200"/>
        <w:rPr>
          <w:rFonts w:ascii="宋体" w:hAnsi="宋体"/>
          <w:sz w:val="21"/>
          <w:szCs w:val="21"/>
        </w:rPr>
      </w:pPr>
      <w:r>
        <w:rPr>
          <w:rFonts w:hint="eastAsia" w:ascii="宋体" w:hAnsi="宋体"/>
          <w:sz w:val="21"/>
          <w:szCs w:val="21"/>
        </w:rPr>
        <w:t>具备履行合同所必需的设备和专业技术能力的书面声明</w:t>
      </w:r>
    </w:p>
    <w:p>
      <w:pPr>
        <w:spacing w:line="540" w:lineRule="exact"/>
        <w:ind w:firstLine="420" w:firstLineChars="200"/>
        <w:rPr>
          <w:rFonts w:ascii="宋体" w:hAnsi="宋体"/>
          <w:sz w:val="21"/>
          <w:szCs w:val="21"/>
        </w:rPr>
      </w:pPr>
      <w:r>
        <w:rPr>
          <w:rFonts w:hint="eastAsia" w:ascii="宋体" w:hAnsi="宋体"/>
          <w:sz w:val="21"/>
          <w:szCs w:val="21"/>
        </w:rPr>
        <w:t>近三年内在经营活动中没有重大违法记录书面声明</w:t>
      </w:r>
    </w:p>
    <w:p>
      <w:pPr>
        <w:spacing w:line="540" w:lineRule="exact"/>
        <w:ind w:firstLine="420" w:firstLineChars="200"/>
        <w:rPr>
          <w:rFonts w:ascii="宋体" w:hAnsi="宋体"/>
          <w:sz w:val="21"/>
          <w:szCs w:val="21"/>
        </w:rPr>
      </w:pPr>
      <w:r>
        <w:rPr>
          <w:rFonts w:hint="eastAsia" w:ascii="宋体" w:hAnsi="宋体"/>
          <w:sz w:val="21"/>
          <w:szCs w:val="21"/>
        </w:rPr>
        <w:t>近三年内在经营活动中没有行贿犯罪记录的书面声明</w:t>
      </w:r>
    </w:p>
    <w:p>
      <w:pPr>
        <w:spacing w:line="540" w:lineRule="exact"/>
        <w:ind w:firstLine="420" w:firstLineChars="200"/>
        <w:rPr>
          <w:rFonts w:ascii="宋体" w:hAnsi="宋体"/>
          <w:sz w:val="21"/>
          <w:szCs w:val="21"/>
        </w:rPr>
      </w:pPr>
      <w:r>
        <w:rPr>
          <w:rFonts w:hint="eastAsia" w:ascii="宋体" w:hAnsi="宋体"/>
          <w:sz w:val="21"/>
          <w:szCs w:val="21"/>
        </w:rPr>
        <w:t>信用记录查询结果</w:t>
      </w:r>
    </w:p>
    <w:p>
      <w:pPr>
        <w:spacing w:line="540" w:lineRule="exact"/>
        <w:ind w:firstLine="420" w:firstLineChars="200"/>
        <w:rPr>
          <w:rFonts w:ascii="宋体" w:hAnsi="宋体"/>
          <w:sz w:val="21"/>
          <w:szCs w:val="21"/>
        </w:rPr>
      </w:pPr>
      <w:r>
        <w:rPr>
          <w:rFonts w:hint="eastAsia" w:ascii="宋体" w:hAnsi="宋体"/>
          <w:sz w:val="21"/>
          <w:szCs w:val="21"/>
        </w:rPr>
        <w:t>法定代表人授权书</w:t>
      </w:r>
    </w:p>
    <w:p>
      <w:pPr>
        <w:numPr>
          <w:ilvl w:val="0"/>
          <w:numId w:val="6"/>
        </w:numPr>
        <w:spacing w:line="540" w:lineRule="exact"/>
        <w:rPr>
          <w:rFonts w:ascii="宋体" w:hAnsi="宋体"/>
          <w:sz w:val="21"/>
          <w:szCs w:val="21"/>
        </w:rPr>
      </w:pPr>
      <w:r>
        <w:rPr>
          <w:rFonts w:hint="eastAsia" w:ascii="宋体" w:hAnsi="宋体"/>
          <w:sz w:val="21"/>
          <w:szCs w:val="21"/>
        </w:rPr>
        <w:t>服务承诺书</w:t>
      </w:r>
    </w:p>
    <w:p>
      <w:pPr>
        <w:numPr>
          <w:ilvl w:val="0"/>
          <w:numId w:val="6"/>
        </w:numPr>
        <w:spacing w:line="540" w:lineRule="exact"/>
        <w:rPr>
          <w:rFonts w:ascii="宋体" w:hAnsi="宋体"/>
          <w:sz w:val="21"/>
          <w:szCs w:val="21"/>
        </w:rPr>
      </w:pPr>
      <w:r>
        <w:rPr>
          <w:rFonts w:hint="eastAsia" w:ascii="宋体" w:hAnsi="宋体"/>
          <w:sz w:val="21"/>
          <w:szCs w:val="21"/>
        </w:rPr>
        <w:t>供应商提交的其他资料</w:t>
      </w:r>
    </w:p>
    <w:p>
      <w:pPr>
        <w:numPr>
          <w:ilvl w:val="0"/>
          <w:numId w:val="6"/>
        </w:numPr>
        <w:spacing w:line="540" w:lineRule="exact"/>
        <w:rPr>
          <w:rFonts w:ascii="宋体" w:hAnsi="宋体"/>
          <w:sz w:val="21"/>
          <w:szCs w:val="21"/>
        </w:rPr>
      </w:pPr>
      <w:r>
        <w:rPr>
          <w:rFonts w:hint="eastAsia" w:ascii="宋体" w:hAnsi="宋体"/>
          <w:sz w:val="21"/>
          <w:szCs w:val="21"/>
        </w:rPr>
        <w:t>采购代理服务费承诺书</w:t>
      </w:r>
    </w:p>
    <w:p>
      <w:pPr>
        <w:numPr>
          <w:ilvl w:val="0"/>
          <w:numId w:val="6"/>
        </w:numPr>
        <w:spacing w:line="540" w:lineRule="exact"/>
        <w:rPr>
          <w:rFonts w:ascii="宋体" w:hAnsi="宋体"/>
          <w:sz w:val="21"/>
          <w:szCs w:val="21"/>
        </w:rPr>
      </w:pPr>
      <w:r>
        <w:rPr>
          <w:rFonts w:hint="eastAsia" w:ascii="宋体" w:hAnsi="宋体"/>
          <w:sz w:val="21"/>
          <w:szCs w:val="21"/>
        </w:rPr>
        <w:t>磋商响应保证金缴款凭证材料及退还申请书</w:t>
      </w:r>
    </w:p>
    <w:p>
      <w:pPr>
        <w:spacing w:line="360" w:lineRule="auto"/>
        <w:rPr>
          <w:rFonts w:ascii="宋体" w:hAnsi="宋体"/>
          <w:sz w:val="21"/>
          <w:szCs w:val="21"/>
        </w:rPr>
      </w:pPr>
    </w:p>
    <w:p>
      <w:pPr>
        <w:jc w:val="center"/>
        <w:rPr>
          <w:b/>
          <w:sz w:val="36"/>
          <w:szCs w:val="36"/>
        </w:rPr>
      </w:pPr>
      <w:r>
        <w:rPr>
          <w:b/>
          <w:sz w:val="36"/>
          <w:szCs w:val="36"/>
        </w:rPr>
        <w:t>磋商响应</w:t>
      </w:r>
      <w:r>
        <w:rPr>
          <w:rFonts w:hint="eastAsia"/>
          <w:b/>
          <w:sz w:val="36"/>
          <w:szCs w:val="36"/>
        </w:rPr>
        <w:t>声明</w:t>
      </w:r>
      <w:r>
        <w:rPr>
          <w:b/>
          <w:sz w:val="36"/>
          <w:szCs w:val="36"/>
        </w:rPr>
        <w:t>函</w:t>
      </w:r>
    </w:p>
    <w:p>
      <w:pPr>
        <w:spacing w:line="340" w:lineRule="atLeast"/>
        <w:rPr>
          <w:rFonts w:ascii="宋体" w:hAnsi="宋体"/>
          <w:sz w:val="21"/>
          <w:szCs w:val="21"/>
        </w:rPr>
      </w:pPr>
      <w:r>
        <w:rPr>
          <w:rFonts w:hint="eastAsia" w:ascii="宋体" w:hAnsi="宋体"/>
          <w:sz w:val="21"/>
          <w:szCs w:val="21"/>
        </w:rPr>
        <w:t>致：</w:t>
      </w:r>
      <w:r>
        <w:rPr>
          <w:rFonts w:hint="eastAsia" w:ascii="宋体" w:hAnsi="宋体"/>
          <w:sz w:val="21"/>
          <w:szCs w:val="21"/>
          <w:u w:val="single"/>
        </w:rPr>
        <w:t xml:space="preserve">               </w:t>
      </w:r>
    </w:p>
    <w:p>
      <w:pPr>
        <w:tabs>
          <w:tab w:val="left" w:pos="980"/>
        </w:tabs>
        <w:spacing w:line="340" w:lineRule="atLeast"/>
        <w:ind w:firstLine="367" w:firstLineChars="175"/>
        <w:rPr>
          <w:rFonts w:ascii="宋体" w:hAnsi="宋体"/>
          <w:sz w:val="21"/>
          <w:szCs w:val="21"/>
        </w:rPr>
      </w:pPr>
      <w:r>
        <w:rPr>
          <w:rFonts w:hint="eastAsia" w:ascii="宋体" w:hAnsi="宋体"/>
          <w:sz w:val="21"/>
          <w:szCs w:val="21"/>
        </w:rPr>
        <w:t xml:space="preserve"> 根据贵方为 </w:t>
      </w:r>
      <w:r>
        <w:rPr>
          <w:rFonts w:hint="eastAsia" w:ascii="宋体" w:hAnsi="宋体"/>
          <w:sz w:val="21"/>
          <w:szCs w:val="21"/>
          <w:u w:val="single"/>
        </w:rPr>
        <w:t xml:space="preserve">     </w:t>
      </w:r>
      <w:r>
        <w:rPr>
          <w:rFonts w:hint="eastAsia" w:ascii="宋体" w:hAnsi="宋体"/>
          <w:sz w:val="21"/>
          <w:szCs w:val="21"/>
        </w:rPr>
        <w:t xml:space="preserve">项目的磋商邀请（项目编号： </w:t>
      </w:r>
      <w:r>
        <w:rPr>
          <w:rFonts w:hint="eastAsia" w:ascii="宋体" w:hAnsi="宋体"/>
          <w:sz w:val="21"/>
          <w:szCs w:val="21"/>
          <w:u w:val="single"/>
        </w:rPr>
        <w:t xml:space="preserve">        </w:t>
      </w:r>
      <w:r>
        <w:rPr>
          <w:rFonts w:hint="eastAsia" w:ascii="宋体" w:hAnsi="宋体"/>
          <w:sz w:val="21"/>
          <w:szCs w:val="21"/>
        </w:rPr>
        <w:t>），本签字代表</w:t>
      </w:r>
      <w:r>
        <w:rPr>
          <w:rFonts w:hint="eastAsia" w:ascii="宋体" w:hAnsi="宋体"/>
          <w:sz w:val="21"/>
          <w:szCs w:val="21"/>
          <w:u w:val="single"/>
        </w:rPr>
        <w:t>（全名、职务）</w:t>
      </w:r>
      <w:r>
        <w:rPr>
          <w:rFonts w:hint="eastAsia" w:ascii="宋体" w:hAnsi="宋体"/>
          <w:sz w:val="21"/>
          <w:szCs w:val="21"/>
        </w:rPr>
        <w:t>正式授权并代表磋商响应供应商</w:t>
      </w:r>
      <w:r>
        <w:rPr>
          <w:rFonts w:hint="eastAsia" w:ascii="宋体" w:hAnsi="宋体"/>
          <w:sz w:val="21"/>
          <w:szCs w:val="21"/>
          <w:u w:val="single"/>
        </w:rPr>
        <w:t>（磋商响应供应商名称、地址）</w:t>
      </w:r>
      <w:r>
        <w:rPr>
          <w:rFonts w:hint="eastAsia" w:ascii="宋体" w:hAnsi="宋体"/>
          <w:sz w:val="21"/>
          <w:szCs w:val="21"/>
        </w:rPr>
        <w:t>提交下述文件正本一份和副本</w:t>
      </w:r>
      <w:r>
        <w:rPr>
          <w:rFonts w:hint="eastAsia" w:ascii="宋体" w:hAnsi="宋体"/>
          <w:sz w:val="21"/>
          <w:szCs w:val="21"/>
          <w:u w:val="single"/>
        </w:rPr>
        <w:t xml:space="preserve">    </w:t>
      </w:r>
      <w:r>
        <w:rPr>
          <w:rFonts w:hint="eastAsia" w:ascii="宋体" w:hAnsi="宋体"/>
          <w:sz w:val="21"/>
          <w:szCs w:val="21"/>
        </w:rPr>
        <w:t xml:space="preserve">份。                  </w:t>
      </w:r>
    </w:p>
    <w:p>
      <w:pPr>
        <w:tabs>
          <w:tab w:val="left" w:pos="980"/>
        </w:tabs>
        <w:spacing w:line="340" w:lineRule="atLeast"/>
        <w:ind w:firstLine="420" w:firstLineChars="200"/>
        <w:rPr>
          <w:rFonts w:ascii="宋体" w:hAnsi="宋体"/>
          <w:sz w:val="21"/>
          <w:szCs w:val="21"/>
        </w:rPr>
      </w:pPr>
      <w:r>
        <w:rPr>
          <w:rFonts w:hint="eastAsia" w:ascii="宋体" w:hAnsi="宋体"/>
          <w:sz w:val="21"/>
          <w:szCs w:val="21"/>
        </w:rPr>
        <w:t>1. 磋商响应声明函</w:t>
      </w:r>
    </w:p>
    <w:p>
      <w:pPr>
        <w:spacing w:line="340" w:lineRule="atLeast"/>
        <w:ind w:firstLine="420" w:firstLineChars="200"/>
        <w:rPr>
          <w:rFonts w:ascii="宋体" w:hAnsi="宋体"/>
          <w:sz w:val="21"/>
          <w:szCs w:val="21"/>
        </w:rPr>
      </w:pPr>
      <w:r>
        <w:rPr>
          <w:rFonts w:hint="eastAsia" w:ascii="宋体" w:hAnsi="宋体"/>
          <w:sz w:val="21"/>
          <w:szCs w:val="21"/>
        </w:rPr>
        <w:t>2. 报价一览表</w:t>
      </w:r>
    </w:p>
    <w:p>
      <w:pPr>
        <w:spacing w:line="340" w:lineRule="atLeast"/>
        <w:ind w:firstLine="420" w:firstLineChars="200"/>
        <w:rPr>
          <w:rFonts w:ascii="宋体" w:hAnsi="宋体"/>
          <w:sz w:val="21"/>
          <w:szCs w:val="21"/>
        </w:rPr>
      </w:pPr>
      <w:r>
        <w:rPr>
          <w:rFonts w:hint="eastAsia" w:ascii="宋体" w:hAnsi="宋体"/>
          <w:sz w:val="21"/>
          <w:szCs w:val="21"/>
        </w:rPr>
        <w:t>3. 分项报价表</w:t>
      </w:r>
    </w:p>
    <w:p>
      <w:pPr>
        <w:spacing w:line="340" w:lineRule="atLeast"/>
        <w:ind w:left="420" w:leftChars="150"/>
        <w:rPr>
          <w:rFonts w:ascii="宋体" w:hAnsi="宋体"/>
          <w:sz w:val="21"/>
          <w:szCs w:val="21"/>
        </w:rPr>
      </w:pPr>
      <w:r>
        <w:rPr>
          <w:rFonts w:hint="eastAsia" w:ascii="宋体" w:hAnsi="宋体"/>
          <w:sz w:val="21"/>
          <w:szCs w:val="21"/>
        </w:rPr>
        <w:t>4. 货物说明一览表</w:t>
      </w:r>
      <w:r>
        <w:rPr>
          <w:rFonts w:hint="eastAsia" w:ascii="宋体" w:hAnsi="宋体"/>
          <w:sz w:val="21"/>
          <w:szCs w:val="21"/>
        </w:rPr>
        <w:cr/>
      </w:r>
      <w:r>
        <w:rPr>
          <w:rFonts w:hint="eastAsia" w:ascii="宋体" w:hAnsi="宋体"/>
          <w:sz w:val="21"/>
          <w:szCs w:val="21"/>
        </w:rPr>
        <w:t xml:space="preserve">5. 供货范围清单 </w:t>
      </w:r>
    </w:p>
    <w:p>
      <w:pPr>
        <w:spacing w:line="340" w:lineRule="atLeast"/>
        <w:ind w:firstLine="420" w:firstLineChars="200"/>
        <w:rPr>
          <w:rFonts w:ascii="宋体" w:hAnsi="宋体"/>
          <w:sz w:val="21"/>
          <w:szCs w:val="21"/>
        </w:rPr>
      </w:pPr>
      <w:r>
        <w:rPr>
          <w:rFonts w:hint="eastAsia" w:ascii="宋体" w:hAnsi="宋体"/>
          <w:sz w:val="21"/>
          <w:szCs w:val="21"/>
        </w:rPr>
        <w:t>6. 重要条款（带★条款）响应表</w:t>
      </w:r>
    </w:p>
    <w:p>
      <w:pPr>
        <w:spacing w:line="340" w:lineRule="atLeast"/>
        <w:ind w:firstLine="420" w:firstLineChars="200"/>
        <w:rPr>
          <w:rFonts w:ascii="宋体" w:hAnsi="宋体"/>
          <w:sz w:val="21"/>
          <w:szCs w:val="21"/>
        </w:rPr>
      </w:pPr>
      <w:r>
        <w:rPr>
          <w:rFonts w:hint="eastAsia" w:ascii="宋体" w:hAnsi="宋体"/>
          <w:sz w:val="21"/>
          <w:szCs w:val="21"/>
        </w:rPr>
        <w:t>7. 技术规格和商务偏离表</w:t>
      </w:r>
    </w:p>
    <w:p>
      <w:pPr>
        <w:spacing w:line="340" w:lineRule="atLeast"/>
        <w:ind w:firstLine="420" w:firstLineChars="200"/>
        <w:rPr>
          <w:rFonts w:ascii="宋体" w:hAnsi="宋体"/>
          <w:sz w:val="21"/>
          <w:szCs w:val="21"/>
        </w:rPr>
      </w:pPr>
      <w:r>
        <w:rPr>
          <w:rFonts w:hint="eastAsia" w:ascii="宋体" w:hAnsi="宋体"/>
          <w:sz w:val="21"/>
          <w:szCs w:val="21"/>
        </w:rPr>
        <w:t>8. 磋商响应供应商的资格证明文件</w:t>
      </w:r>
    </w:p>
    <w:p>
      <w:pPr>
        <w:spacing w:line="340" w:lineRule="atLeast"/>
        <w:ind w:firstLine="420" w:firstLineChars="200"/>
        <w:rPr>
          <w:rFonts w:ascii="宋体" w:hAnsi="宋体"/>
          <w:sz w:val="21"/>
          <w:szCs w:val="21"/>
        </w:rPr>
      </w:pPr>
      <w:r>
        <w:rPr>
          <w:rFonts w:hint="eastAsia" w:ascii="宋体" w:hAnsi="宋体"/>
          <w:sz w:val="21"/>
          <w:szCs w:val="21"/>
        </w:rPr>
        <w:t>9．服务承诺书</w:t>
      </w:r>
    </w:p>
    <w:p>
      <w:pPr>
        <w:spacing w:line="340" w:lineRule="atLeast"/>
        <w:ind w:firstLine="420" w:firstLineChars="200"/>
        <w:rPr>
          <w:rFonts w:ascii="宋体" w:hAnsi="宋体"/>
          <w:sz w:val="21"/>
          <w:szCs w:val="21"/>
        </w:rPr>
      </w:pPr>
      <w:r>
        <w:rPr>
          <w:rFonts w:hint="eastAsia" w:ascii="宋体" w:hAnsi="宋体"/>
          <w:sz w:val="21"/>
          <w:szCs w:val="21"/>
        </w:rPr>
        <w:t>10．供应商</w:t>
      </w:r>
      <w:r>
        <w:rPr>
          <w:rFonts w:hint="eastAsia" w:ascii="宋体" w:hAnsi="宋体"/>
          <w:bCs/>
          <w:sz w:val="21"/>
          <w:szCs w:val="21"/>
        </w:rPr>
        <w:t>提</w:t>
      </w:r>
      <w:r>
        <w:rPr>
          <w:rFonts w:hint="eastAsia" w:ascii="宋体" w:hAnsi="宋体"/>
          <w:sz w:val="21"/>
          <w:szCs w:val="21"/>
        </w:rPr>
        <w:t>交的其它资料</w:t>
      </w:r>
    </w:p>
    <w:p>
      <w:pPr>
        <w:spacing w:line="340" w:lineRule="atLeast"/>
        <w:ind w:firstLine="420" w:firstLineChars="200"/>
        <w:rPr>
          <w:rFonts w:ascii="宋体" w:hAnsi="宋体"/>
          <w:sz w:val="21"/>
          <w:szCs w:val="21"/>
        </w:rPr>
      </w:pPr>
      <w:r>
        <w:rPr>
          <w:rFonts w:hint="eastAsia" w:ascii="宋体" w:hAnsi="宋体"/>
          <w:sz w:val="21"/>
          <w:szCs w:val="21"/>
        </w:rPr>
        <w:t>11．采购代理服务费承诺书</w:t>
      </w:r>
    </w:p>
    <w:p>
      <w:pPr>
        <w:spacing w:line="340" w:lineRule="atLeast"/>
        <w:ind w:firstLine="420" w:firstLineChars="200"/>
        <w:rPr>
          <w:rFonts w:ascii="宋体" w:hAnsi="宋体"/>
          <w:sz w:val="21"/>
          <w:szCs w:val="21"/>
        </w:rPr>
      </w:pPr>
      <w:r>
        <w:rPr>
          <w:rFonts w:hint="eastAsia" w:ascii="宋体" w:hAnsi="宋体"/>
          <w:sz w:val="21"/>
          <w:szCs w:val="21"/>
        </w:rPr>
        <w:t>12．磋商响应保证金缴款凭证材料及退还申请书</w:t>
      </w:r>
    </w:p>
    <w:p>
      <w:pPr>
        <w:spacing w:line="340" w:lineRule="atLeast"/>
        <w:rPr>
          <w:rFonts w:ascii="宋体" w:hAnsi="宋体"/>
          <w:sz w:val="21"/>
          <w:szCs w:val="21"/>
        </w:rPr>
      </w:pPr>
      <w:r>
        <w:rPr>
          <w:rFonts w:hint="eastAsia" w:ascii="宋体" w:hAnsi="宋体"/>
          <w:sz w:val="21"/>
          <w:szCs w:val="21"/>
        </w:rPr>
        <w:t xml:space="preserve">    13．以 </w:t>
      </w:r>
      <w:r>
        <w:rPr>
          <w:rFonts w:hint="eastAsia" w:ascii="宋体" w:hAnsi="宋体"/>
          <w:sz w:val="21"/>
          <w:szCs w:val="21"/>
          <w:u w:val="single"/>
        </w:rPr>
        <w:t xml:space="preserve">      </w:t>
      </w:r>
      <w:r>
        <w:rPr>
          <w:rFonts w:hint="eastAsia" w:ascii="宋体" w:hAnsi="宋体"/>
          <w:sz w:val="21"/>
          <w:szCs w:val="21"/>
        </w:rPr>
        <w:t>方式提供的金额为人民币</w:t>
      </w:r>
      <w:r>
        <w:rPr>
          <w:rFonts w:hint="eastAsia" w:ascii="宋体" w:hAnsi="宋体"/>
          <w:sz w:val="21"/>
          <w:szCs w:val="21"/>
          <w:u w:val="single"/>
        </w:rPr>
        <w:t xml:space="preserve">       </w:t>
      </w:r>
      <w:r>
        <w:rPr>
          <w:rFonts w:hint="eastAsia" w:ascii="宋体" w:hAnsi="宋体"/>
          <w:sz w:val="21"/>
          <w:szCs w:val="21"/>
        </w:rPr>
        <w:t>元的磋商响应保证金。</w:t>
      </w:r>
    </w:p>
    <w:p>
      <w:pPr>
        <w:spacing w:line="340" w:lineRule="atLeast"/>
        <w:rPr>
          <w:rFonts w:ascii="宋体" w:hAnsi="宋体"/>
          <w:sz w:val="21"/>
          <w:szCs w:val="21"/>
        </w:rPr>
      </w:pPr>
      <w:r>
        <w:rPr>
          <w:rFonts w:hint="eastAsia" w:ascii="宋体" w:hAnsi="宋体"/>
          <w:sz w:val="21"/>
          <w:szCs w:val="21"/>
        </w:rPr>
        <w:t xml:space="preserve">    据此函，签字代表宣布同意如下：</w:t>
      </w:r>
    </w:p>
    <w:p>
      <w:pPr>
        <w:spacing w:line="340" w:lineRule="atLeast"/>
        <w:rPr>
          <w:rFonts w:ascii="宋体" w:hAnsi="宋体"/>
          <w:sz w:val="21"/>
          <w:szCs w:val="21"/>
        </w:rPr>
      </w:pPr>
      <w:r>
        <w:rPr>
          <w:rFonts w:hint="eastAsia" w:ascii="宋体" w:hAnsi="宋体"/>
          <w:sz w:val="21"/>
          <w:szCs w:val="21"/>
        </w:rPr>
        <w:t xml:space="preserve">    1.所附详细报价表中规定的应提供和交付的货物及服务报价总价为人民币 </w:t>
      </w:r>
      <w:r>
        <w:rPr>
          <w:rFonts w:hint="eastAsia" w:ascii="宋体" w:hAnsi="宋体"/>
          <w:sz w:val="21"/>
          <w:szCs w:val="21"/>
          <w:u w:val="single"/>
        </w:rPr>
        <w:t xml:space="preserve">       </w:t>
      </w:r>
      <w:r>
        <w:rPr>
          <w:rFonts w:hint="eastAsia" w:ascii="宋体" w:hAnsi="宋体"/>
          <w:sz w:val="21"/>
          <w:szCs w:val="21"/>
        </w:rPr>
        <w:t xml:space="preserve">，即 </w:t>
      </w:r>
      <w:r>
        <w:rPr>
          <w:rFonts w:hint="eastAsia" w:ascii="宋体" w:hAnsi="宋体"/>
          <w:sz w:val="21"/>
          <w:szCs w:val="21"/>
          <w:u w:val="single"/>
        </w:rPr>
        <w:t xml:space="preserve">            </w:t>
      </w:r>
      <w:r>
        <w:rPr>
          <w:rFonts w:hint="eastAsia" w:ascii="宋体" w:hAnsi="宋体"/>
          <w:sz w:val="21"/>
          <w:szCs w:val="21"/>
        </w:rPr>
        <w:t>（中文表述）。</w:t>
      </w:r>
    </w:p>
    <w:p>
      <w:pPr>
        <w:spacing w:line="340" w:lineRule="atLeast"/>
        <w:ind w:firstLine="420" w:firstLineChars="200"/>
        <w:rPr>
          <w:rFonts w:ascii="宋体" w:hAnsi="宋体"/>
          <w:sz w:val="21"/>
          <w:szCs w:val="21"/>
        </w:rPr>
      </w:pPr>
      <w:r>
        <w:rPr>
          <w:rFonts w:hint="eastAsia" w:ascii="宋体" w:hAnsi="宋体"/>
          <w:sz w:val="21"/>
          <w:szCs w:val="21"/>
        </w:rPr>
        <w:t>2.磋商响应供应商已详细审查全部磋商文件，包括修改文件（如有的话）和有关附件，将自行承担因对全部磋商文件理解不正确或误解而产生的相应后果。</w:t>
      </w:r>
    </w:p>
    <w:p>
      <w:pPr>
        <w:spacing w:line="340" w:lineRule="atLeast"/>
        <w:rPr>
          <w:rFonts w:ascii="宋体" w:hAnsi="宋体"/>
          <w:sz w:val="21"/>
          <w:szCs w:val="21"/>
        </w:rPr>
      </w:pPr>
      <w:r>
        <w:rPr>
          <w:rFonts w:hint="eastAsia" w:ascii="宋体" w:hAnsi="宋体"/>
          <w:sz w:val="21"/>
          <w:szCs w:val="21"/>
        </w:rPr>
        <w:t xml:space="preserve">    3.磋商响应供应商保证遵守磋商文件的全部规定，磋商响应供应商所提交的材料中所含的信息均为真实、准确、完整，且不具有任何误导性。</w:t>
      </w:r>
    </w:p>
    <w:p>
      <w:pPr>
        <w:spacing w:line="340" w:lineRule="atLeast"/>
        <w:rPr>
          <w:rFonts w:ascii="宋体" w:hAnsi="宋体"/>
          <w:sz w:val="21"/>
          <w:szCs w:val="21"/>
        </w:rPr>
      </w:pPr>
      <w:r>
        <w:rPr>
          <w:rFonts w:hint="eastAsia" w:ascii="宋体" w:hAnsi="宋体"/>
          <w:sz w:val="21"/>
          <w:szCs w:val="21"/>
        </w:rPr>
        <w:t xml:space="preserve">    4.磋商响应供应商将按磋商文件的规定履行合同责任和义务。</w:t>
      </w:r>
    </w:p>
    <w:p>
      <w:pPr>
        <w:spacing w:line="340" w:lineRule="atLeast"/>
        <w:rPr>
          <w:rFonts w:ascii="宋体" w:hAnsi="宋体"/>
          <w:sz w:val="21"/>
          <w:szCs w:val="21"/>
        </w:rPr>
      </w:pPr>
      <w:r>
        <w:rPr>
          <w:rFonts w:hint="eastAsia" w:ascii="宋体" w:hAnsi="宋体"/>
          <w:sz w:val="21"/>
          <w:szCs w:val="21"/>
        </w:rPr>
        <w:t xml:space="preserve">    5.本磋商响应文件自磋商响应截止时间起磋商有效期为：在磋商文件磋商响应供应商须知前附表所规定的期限内保持有效。</w:t>
      </w:r>
    </w:p>
    <w:p>
      <w:pPr>
        <w:spacing w:line="340" w:lineRule="atLeast"/>
        <w:rPr>
          <w:rFonts w:ascii="宋体" w:hAnsi="宋体"/>
          <w:sz w:val="21"/>
          <w:szCs w:val="21"/>
        </w:rPr>
      </w:pPr>
      <w:r>
        <w:rPr>
          <w:rFonts w:hint="eastAsia" w:ascii="宋体" w:hAnsi="宋体"/>
          <w:sz w:val="21"/>
          <w:szCs w:val="21"/>
        </w:rPr>
        <w:t xml:space="preserve">    6.如果发生磋商文件第二章磋商响应供应商须知所述情况，则同意招标代理机构不予退还磋商响应保证金。</w:t>
      </w:r>
    </w:p>
    <w:p>
      <w:pPr>
        <w:spacing w:line="340" w:lineRule="atLeast"/>
        <w:ind w:firstLine="420" w:firstLineChars="200"/>
        <w:rPr>
          <w:rFonts w:ascii="宋体" w:hAnsi="宋体"/>
          <w:sz w:val="21"/>
          <w:szCs w:val="21"/>
        </w:rPr>
      </w:pPr>
      <w:r>
        <w:rPr>
          <w:rFonts w:hint="eastAsia" w:ascii="宋体" w:hAnsi="宋体"/>
          <w:sz w:val="21"/>
          <w:szCs w:val="21"/>
        </w:rPr>
        <w:t>7.磋商响应供应商同意按照采购单位要求提供与其磋商有关的一切数据或资料，完全理解贵方不一定要接受最低的报价或收到的任何磋商。</w:t>
      </w:r>
    </w:p>
    <w:p>
      <w:pPr>
        <w:spacing w:line="340" w:lineRule="atLeast"/>
        <w:ind w:firstLine="420" w:firstLineChars="200"/>
        <w:rPr>
          <w:rFonts w:ascii="宋体" w:hAnsi="宋体"/>
          <w:sz w:val="21"/>
          <w:szCs w:val="21"/>
        </w:rPr>
      </w:pPr>
      <w:r>
        <w:rPr>
          <w:rFonts w:hint="eastAsia" w:ascii="宋体" w:hAnsi="宋体"/>
          <w:sz w:val="21"/>
          <w:szCs w:val="21"/>
        </w:rPr>
        <w:t>8. 与本磋商有关的一切正式往来通讯请寄：</w:t>
      </w:r>
    </w:p>
    <w:p>
      <w:pPr>
        <w:spacing w:line="340" w:lineRule="atLeast"/>
        <w:rPr>
          <w:rFonts w:ascii="宋体" w:hAnsi="宋体"/>
          <w:sz w:val="21"/>
          <w:szCs w:val="21"/>
          <w:u w:val="single"/>
        </w:rPr>
      </w:pPr>
      <w:r>
        <w:rPr>
          <w:rFonts w:hint="eastAsia" w:ascii="宋体" w:hAnsi="宋体"/>
          <w:sz w:val="21"/>
          <w:szCs w:val="21"/>
        </w:rPr>
        <w:t xml:space="preserve">      地址： </w:t>
      </w:r>
      <w:r>
        <w:rPr>
          <w:rFonts w:hint="eastAsia" w:ascii="宋体" w:hAnsi="宋体"/>
          <w:sz w:val="21"/>
          <w:szCs w:val="21"/>
          <w:u w:val="single"/>
        </w:rPr>
        <w:t xml:space="preserve">                </w:t>
      </w:r>
      <w:r>
        <w:rPr>
          <w:rFonts w:hint="eastAsia" w:ascii="宋体" w:hAnsi="宋体"/>
          <w:sz w:val="21"/>
          <w:szCs w:val="21"/>
        </w:rPr>
        <w:t xml:space="preserve"> 邮编： </w:t>
      </w:r>
      <w:r>
        <w:rPr>
          <w:rFonts w:hint="eastAsia" w:ascii="宋体" w:hAnsi="宋体"/>
          <w:sz w:val="21"/>
          <w:szCs w:val="21"/>
          <w:u w:val="single"/>
        </w:rPr>
        <w:t xml:space="preserve">                 </w:t>
      </w:r>
    </w:p>
    <w:p>
      <w:pPr>
        <w:spacing w:line="340" w:lineRule="atLeast"/>
        <w:rPr>
          <w:rFonts w:ascii="宋体" w:hAnsi="宋体"/>
          <w:sz w:val="21"/>
          <w:szCs w:val="21"/>
          <w:u w:val="single"/>
        </w:rPr>
      </w:pPr>
      <w:r>
        <w:rPr>
          <w:rFonts w:hint="eastAsia" w:ascii="宋体" w:hAnsi="宋体"/>
          <w:sz w:val="21"/>
          <w:szCs w:val="21"/>
        </w:rPr>
        <w:t xml:space="preserve">      电话： </w:t>
      </w:r>
      <w:r>
        <w:rPr>
          <w:rFonts w:hint="eastAsia" w:ascii="宋体" w:hAnsi="宋体"/>
          <w:sz w:val="21"/>
          <w:szCs w:val="21"/>
          <w:u w:val="single"/>
        </w:rPr>
        <w:t xml:space="preserve">                </w:t>
      </w:r>
      <w:r>
        <w:rPr>
          <w:rFonts w:hint="eastAsia" w:ascii="宋体" w:hAnsi="宋体"/>
          <w:sz w:val="21"/>
          <w:szCs w:val="21"/>
        </w:rPr>
        <w:t xml:space="preserve"> 传真： </w:t>
      </w:r>
      <w:r>
        <w:rPr>
          <w:rFonts w:hint="eastAsia" w:ascii="宋体" w:hAnsi="宋体"/>
          <w:sz w:val="21"/>
          <w:szCs w:val="21"/>
          <w:u w:val="single"/>
        </w:rPr>
        <w:t xml:space="preserve">                 </w:t>
      </w:r>
    </w:p>
    <w:p>
      <w:pPr>
        <w:spacing w:line="360" w:lineRule="auto"/>
        <w:ind w:firstLine="630" w:firstLineChars="300"/>
        <w:rPr>
          <w:rFonts w:ascii="宋体" w:hAnsi="宋体"/>
          <w:sz w:val="21"/>
          <w:szCs w:val="21"/>
        </w:rPr>
      </w:pPr>
      <w:r>
        <w:rPr>
          <w:rFonts w:hint="eastAsia" w:ascii="宋体" w:hAnsi="宋体"/>
          <w:sz w:val="21"/>
          <w:szCs w:val="21"/>
        </w:rPr>
        <w:t>磋商响应供应商全称（加盖公章）：</w:t>
      </w:r>
      <w:r>
        <w:rPr>
          <w:rFonts w:hint="eastAsia" w:ascii="宋体" w:hAnsi="宋体"/>
          <w:sz w:val="21"/>
          <w:szCs w:val="21"/>
          <w:u w:val="single"/>
        </w:rPr>
        <w:t xml:space="preserve">                </w:t>
      </w:r>
    </w:p>
    <w:p>
      <w:pPr>
        <w:spacing w:line="360" w:lineRule="auto"/>
        <w:ind w:firstLine="630" w:firstLineChars="300"/>
        <w:rPr>
          <w:rFonts w:ascii="宋体" w:hAnsi="宋体"/>
          <w:sz w:val="21"/>
          <w:szCs w:val="21"/>
          <w:u w:val="single"/>
        </w:rPr>
      </w:pPr>
      <w:r>
        <w:rPr>
          <w:rFonts w:hint="eastAsia" w:ascii="宋体" w:hAnsi="宋体"/>
          <w:sz w:val="21"/>
          <w:szCs w:val="21"/>
        </w:rPr>
        <w:t>磋商响应供应商代表签字：</w:t>
      </w:r>
      <w:r>
        <w:rPr>
          <w:rFonts w:hint="eastAsia" w:ascii="宋体" w:hAnsi="宋体"/>
          <w:sz w:val="21"/>
          <w:szCs w:val="21"/>
          <w:u w:val="single"/>
        </w:rPr>
        <w:t xml:space="preserve">                        </w:t>
      </w:r>
    </w:p>
    <w:p>
      <w:pPr>
        <w:spacing w:line="340" w:lineRule="atLeast"/>
        <w:ind w:firstLine="630" w:firstLineChars="300"/>
        <w:rPr>
          <w:rFonts w:ascii="宋体" w:hAnsi="宋体"/>
          <w:sz w:val="21"/>
          <w:szCs w:val="21"/>
        </w:rPr>
      </w:pPr>
      <w:r>
        <w:rPr>
          <w:rFonts w:hint="eastAsia" w:ascii="宋体" w:hAnsi="宋体"/>
          <w:sz w:val="21"/>
          <w:szCs w:val="21"/>
        </w:rPr>
        <w:t>日   期：</w:t>
      </w:r>
      <w:r>
        <w:rPr>
          <w:rFonts w:hint="eastAsia" w:ascii="宋体" w:hAnsi="宋体"/>
          <w:sz w:val="21"/>
          <w:szCs w:val="21"/>
          <w:u w:val="single"/>
        </w:rPr>
        <w:t xml:space="preserve">        </w:t>
      </w:r>
      <w:r>
        <w:rPr>
          <w:rFonts w:hint="eastAsia" w:ascii="宋体" w:hAnsi="宋体"/>
          <w:sz w:val="21"/>
          <w:szCs w:val="21"/>
        </w:rPr>
        <w:t xml:space="preserve">年 </w:t>
      </w:r>
      <w:r>
        <w:rPr>
          <w:rFonts w:hint="eastAsia" w:ascii="宋体" w:hAnsi="宋体"/>
          <w:sz w:val="21"/>
          <w:szCs w:val="21"/>
          <w:u w:val="single"/>
        </w:rPr>
        <w:t xml:space="preserve">    </w:t>
      </w:r>
      <w:r>
        <w:rPr>
          <w:rFonts w:hint="eastAsia" w:ascii="宋体" w:hAnsi="宋体"/>
          <w:sz w:val="21"/>
          <w:szCs w:val="21"/>
        </w:rPr>
        <w:t xml:space="preserve">月 </w:t>
      </w:r>
      <w:r>
        <w:rPr>
          <w:rFonts w:hint="eastAsia" w:ascii="宋体" w:hAnsi="宋体"/>
          <w:sz w:val="21"/>
          <w:szCs w:val="21"/>
          <w:u w:val="single"/>
        </w:rPr>
        <w:t xml:space="preserve">    </w:t>
      </w:r>
      <w:r>
        <w:rPr>
          <w:rFonts w:hint="eastAsia" w:ascii="宋体" w:hAnsi="宋体"/>
          <w:sz w:val="21"/>
          <w:szCs w:val="21"/>
        </w:rPr>
        <w:t>日</w:t>
      </w:r>
    </w:p>
    <w:p>
      <w:pPr>
        <w:jc w:val="center"/>
        <w:rPr>
          <w:b/>
          <w:sz w:val="36"/>
          <w:szCs w:val="36"/>
        </w:rPr>
      </w:pPr>
      <w:r>
        <w:rPr>
          <w:rFonts w:hAnsi="宋体"/>
        </w:rPr>
        <w:br w:type="page"/>
      </w:r>
      <w:bookmarkStart w:id="70" w:name="_Toc185762840"/>
      <w:r>
        <w:rPr>
          <w:b/>
          <w:sz w:val="36"/>
          <w:szCs w:val="36"/>
        </w:rPr>
        <w:t>报价一览表</w:t>
      </w:r>
      <w:bookmarkEnd w:id="70"/>
    </w:p>
    <w:p>
      <w:pPr>
        <w:spacing w:line="360" w:lineRule="auto"/>
        <w:rPr>
          <w:rFonts w:ascii="宋体" w:hAnsi="宋体"/>
          <w:sz w:val="24"/>
        </w:rPr>
      </w:pPr>
    </w:p>
    <w:p>
      <w:pPr>
        <w:tabs>
          <w:tab w:val="left" w:pos="900"/>
        </w:tabs>
        <w:spacing w:line="440" w:lineRule="exact"/>
        <w:jc w:val="center"/>
        <w:rPr>
          <w:rFonts w:ascii="宋体" w:hAnsi="宋体"/>
          <w:b/>
          <w:sz w:val="30"/>
          <w:szCs w:val="30"/>
        </w:rPr>
      </w:pPr>
    </w:p>
    <w:p>
      <w:pPr>
        <w:spacing w:afterLines="50" w:line="380" w:lineRule="exact"/>
        <w:rPr>
          <w:rFonts w:ascii="宋体" w:hAnsi="宋体"/>
          <w:sz w:val="24"/>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项目编号：</w:t>
      </w:r>
      <w:r>
        <w:rPr>
          <w:rFonts w:hint="eastAsia" w:ascii="宋体" w:hAnsi="宋体"/>
          <w:sz w:val="24"/>
          <w:u w:val="single"/>
        </w:rPr>
        <w:t xml:space="preserve">                  </w:t>
      </w:r>
      <w:r>
        <w:rPr>
          <w:rFonts w:ascii="宋体" w:hAnsi="宋体" w:cs="宋体"/>
          <w:kern w:val="1"/>
          <w:sz w:val="24"/>
        </w:rPr>
        <w:t xml:space="preserve"> </w:t>
      </w:r>
      <w:r>
        <w:rPr>
          <w:rFonts w:hint="eastAsia" w:ascii="宋体" w:hAnsi="宋体" w:cs="宋体"/>
          <w:kern w:val="1"/>
          <w:sz w:val="24"/>
        </w:rPr>
        <w:t xml:space="preserve">    </w:t>
      </w:r>
      <w:r>
        <w:rPr>
          <w:rFonts w:ascii="宋体" w:hAnsi="宋体" w:cs="宋体"/>
          <w:kern w:val="1"/>
          <w:sz w:val="24"/>
        </w:rPr>
        <w:t>货币单位：</w:t>
      </w:r>
      <w:r>
        <w:rPr>
          <w:rFonts w:hint="eastAsia" w:ascii="宋体" w:hAnsi="宋体"/>
          <w:sz w:val="24"/>
          <w:u w:val="single"/>
        </w:rPr>
        <w:t xml:space="preserve">    </w:t>
      </w:r>
    </w:p>
    <w:tbl>
      <w:tblPr>
        <w:tblStyle w:val="24"/>
        <w:tblW w:w="967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7"/>
        <w:gridCol w:w="868"/>
        <w:gridCol w:w="2600"/>
        <w:gridCol w:w="2471"/>
        <w:gridCol w:w="23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367" w:type="dxa"/>
            <w:tcBorders>
              <w:right w:val="single" w:color="auto" w:sz="4" w:space="0"/>
            </w:tcBorders>
            <w:vAlign w:val="center"/>
          </w:tcPr>
          <w:p>
            <w:pPr>
              <w:spacing w:line="440" w:lineRule="exact"/>
              <w:jc w:val="center"/>
              <w:rPr>
                <w:rFonts w:ascii="宋体" w:hAnsi="宋体"/>
                <w:bCs/>
                <w:sz w:val="24"/>
                <w:szCs w:val="28"/>
              </w:rPr>
            </w:pPr>
            <w:r>
              <w:rPr>
                <w:rFonts w:hint="eastAsia" w:ascii="宋体" w:hAnsi="宋体"/>
                <w:bCs/>
                <w:sz w:val="24"/>
                <w:szCs w:val="28"/>
              </w:rPr>
              <w:t>合同包号</w:t>
            </w:r>
          </w:p>
        </w:tc>
        <w:tc>
          <w:tcPr>
            <w:tcW w:w="868" w:type="dxa"/>
            <w:tcBorders>
              <w:left w:val="single" w:color="auto" w:sz="4" w:space="0"/>
              <w:right w:val="single" w:color="auto" w:sz="4" w:space="0"/>
            </w:tcBorders>
            <w:vAlign w:val="center"/>
          </w:tcPr>
          <w:p>
            <w:pPr>
              <w:spacing w:line="440" w:lineRule="exact"/>
              <w:jc w:val="center"/>
              <w:rPr>
                <w:rFonts w:ascii="宋体" w:hAnsi="宋体"/>
                <w:bCs/>
                <w:sz w:val="24"/>
                <w:szCs w:val="28"/>
              </w:rPr>
            </w:pPr>
            <w:r>
              <w:rPr>
                <w:rFonts w:hint="eastAsia" w:ascii="宋体" w:hAnsi="宋体"/>
                <w:bCs/>
                <w:sz w:val="24"/>
                <w:szCs w:val="28"/>
              </w:rPr>
              <w:t>数量</w:t>
            </w:r>
          </w:p>
        </w:tc>
        <w:tc>
          <w:tcPr>
            <w:tcW w:w="2600" w:type="dxa"/>
            <w:tcBorders>
              <w:left w:val="single" w:color="auto" w:sz="4" w:space="0"/>
              <w:right w:val="single" w:color="auto" w:sz="4" w:space="0"/>
            </w:tcBorders>
            <w:vAlign w:val="center"/>
          </w:tcPr>
          <w:p>
            <w:pPr>
              <w:spacing w:line="440" w:lineRule="exact"/>
              <w:jc w:val="center"/>
              <w:rPr>
                <w:rFonts w:ascii="宋体" w:hAnsi="宋体"/>
                <w:bCs/>
                <w:sz w:val="24"/>
                <w:szCs w:val="28"/>
              </w:rPr>
            </w:pPr>
            <w:r>
              <w:rPr>
                <w:rFonts w:hint="eastAsia" w:ascii="宋体" w:hAnsi="宋体"/>
                <w:bCs/>
                <w:sz w:val="24"/>
                <w:szCs w:val="28"/>
              </w:rPr>
              <w:t>首次报价</w:t>
            </w:r>
          </w:p>
        </w:tc>
        <w:tc>
          <w:tcPr>
            <w:tcW w:w="2471" w:type="dxa"/>
            <w:tcBorders>
              <w:left w:val="single" w:color="auto" w:sz="4" w:space="0"/>
            </w:tcBorders>
            <w:vAlign w:val="center"/>
          </w:tcPr>
          <w:p>
            <w:pPr>
              <w:spacing w:line="440" w:lineRule="exact"/>
              <w:jc w:val="center"/>
              <w:rPr>
                <w:rFonts w:ascii="宋体" w:hAnsi="宋体"/>
                <w:bCs/>
                <w:sz w:val="24"/>
                <w:szCs w:val="28"/>
              </w:rPr>
            </w:pPr>
            <w:r>
              <w:rPr>
                <w:rFonts w:hint="eastAsia" w:ascii="宋体" w:hAnsi="宋体"/>
                <w:bCs/>
                <w:sz w:val="24"/>
                <w:szCs w:val="28"/>
              </w:rPr>
              <w:t>磋商保证金</w:t>
            </w:r>
          </w:p>
        </w:tc>
        <w:tc>
          <w:tcPr>
            <w:tcW w:w="2370" w:type="dxa"/>
            <w:vAlign w:val="center"/>
          </w:tcPr>
          <w:p>
            <w:pPr>
              <w:spacing w:line="440" w:lineRule="exact"/>
              <w:jc w:val="center"/>
              <w:rPr>
                <w:rFonts w:ascii="宋体" w:hAnsi="宋体"/>
                <w:bCs/>
                <w:sz w:val="24"/>
                <w:szCs w:val="28"/>
              </w:rPr>
            </w:pPr>
            <w:r>
              <w:rPr>
                <w:rFonts w:hint="eastAsia" w:ascii="宋体" w:hAnsi="宋体" w:cs="宋体"/>
                <w:bCs/>
                <w:kern w:val="0"/>
                <w:sz w:val="24"/>
              </w:rPr>
              <w:t>交货期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1367" w:type="dxa"/>
            <w:tcBorders>
              <w:right w:val="single" w:color="auto" w:sz="4" w:space="0"/>
            </w:tcBorders>
            <w:vAlign w:val="center"/>
          </w:tcPr>
          <w:p>
            <w:pPr>
              <w:spacing w:line="440" w:lineRule="exact"/>
              <w:jc w:val="center"/>
              <w:rPr>
                <w:rFonts w:ascii="宋体" w:hAnsi="宋体"/>
                <w:bCs/>
                <w:sz w:val="24"/>
                <w:szCs w:val="28"/>
              </w:rPr>
            </w:pPr>
            <w:r>
              <w:rPr>
                <w:rFonts w:hint="eastAsia" w:ascii="宋体" w:hAnsi="宋体"/>
                <w:bCs/>
                <w:sz w:val="24"/>
                <w:szCs w:val="28"/>
              </w:rPr>
              <w:t>一</w:t>
            </w:r>
          </w:p>
        </w:tc>
        <w:tc>
          <w:tcPr>
            <w:tcW w:w="868" w:type="dxa"/>
            <w:tcBorders>
              <w:left w:val="single" w:color="auto" w:sz="4" w:space="0"/>
              <w:right w:val="single" w:color="auto" w:sz="4" w:space="0"/>
            </w:tcBorders>
            <w:vAlign w:val="center"/>
          </w:tcPr>
          <w:p>
            <w:pPr>
              <w:spacing w:line="440" w:lineRule="exact"/>
              <w:jc w:val="center"/>
              <w:rPr>
                <w:rFonts w:ascii="宋体" w:hAnsi="宋体"/>
                <w:bCs/>
                <w:sz w:val="24"/>
                <w:szCs w:val="28"/>
              </w:rPr>
            </w:pPr>
          </w:p>
        </w:tc>
        <w:tc>
          <w:tcPr>
            <w:tcW w:w="2600" w:type="dxa"/>
            <w:tcBorders>
              <w:left w:val="single" w:color="auto" w:sz="4" w:space="0"/>
              <w:right w:val="single" w:color="auto" w:sz="4" w:space="0"/>
            </w:tcBorders>
            <w:vAlign w:val="center"/>
          </w:tcPr>
          <w:p>
            <w:pPr>
              <w:spacing w:line="440" w:lineRule="exact"/>
              <w:jc w:val="center"/>
              <w:rPr>
                <w:rFonts w:ascii="宋体" w:hAnsi="宋体"/>
                <w:bCs/>
                <w:sz w:val="24"/>
                <w:szCs w:val="28"/>
              </w:rPr>
            </w:pPr>
          </w:p>
        </w:tc>
        <w:tc>
          <w:tcPr>
            <w:tcW w:w="2471" w:type="dxa"/>
            <w:tcBorders>
              <w:left w:val="single" w:color="auto" w:sz="4" w:space="0"/>
            </w:tcBorders>
            <w:vAlign w:val="center"/>
          </w:tcPr>
          <w:p>
            <w:pPr>
              <w:spacing w:line="440" w:lineRule="exact"/>
              <w:jc w:val="center"/>
              <w:rPr>
                <w:rFonts w:ascii="宋体" w:hAnsi="宋体"/>
                <w:bCs/>
                <w:sz w:val="24"/>
                <w:szCs w:val="28"/>
              </w:rPr>
            </w:pPr>
          </w:p>
        </w:tc>
        <w:tc>
          <w:tcPr>
            <w:tcW w:w="2370" w:type="dxa"/>
            <w:vAlign w:val="center"/>
          </w:tcPr>
          <w:p>
            <w:pPr>
              <w:spacing w:line="440" w:lineRule="exact"/>
              <w:jc w:val="center"/>
              <w:rPr>
                <w:rFonts w:ascii="宋体" w:hAnsi="宋体"/>
                <w:bCs/>
                <w:sz w:val="24"/>
                <w:szCs w:val="28"/>
              </w:rPr>
            </w:pPr>
          </w:p>
        </w:tc>
      </w:tr>
    </w:tbl>
    <w:p>
      <w:pPr>
        <w:spacing w:line="400" w:lineRule="exact"/>
        <w:rPr>
          <w:rFonts w:ascii="宋体" w:hAnsi="宋体"/>
          <w:sz w:val="24"/>
        </w:rPr>
      </w:pPr>
    </w:p>
    <w:p>
      <w:pPr>
        <w:spacing w:line="360" w:lineRule="auto"/>
        <w:ind w:firstLine="3120" w:firstLineChars="1300"/>
        <w:rPr>
          <w:rFonts w:ascii="宋体" w:hAnsi="宋体"/>
          <w:sz w:val="24"/>
        </w:rPr>
      </w:pPr>
    </w:p>
    <w:p>
      <w:pPr>
        <w:spacing w:line="360" w:lineRule="auto"/>
        <w:ind w:firstLine="3120" w:firstLineChars="1300"/>
        <w:rPr>
          <w:rFonts w:ascii="宋体" w:hAnsi="宋体"/>
          <w:sz w:val="24"/>
        </w:rPr>
      </w:pPr>
      <w:r>
        <w:rPr>
          <w:rFonts w:hint="eastAsia" w:ascii="宋体" w:hAnsi="宋体"/>
          <w:sz w:val="24"/>
        </w:rPr>
        <w:t>磋商响应供应商全称（加盖公章）：</w:t>
      </w:r>
      <w:r>
        <w:rPr>
          <w:rFonts w:hint="eastAsia" w:ascii="宋体" w:hAnsi="宋体"/>
          <w:sz w:val="24"/>
          <w:u w:val="single"/>
        </w:rPr>
        <w:t xml:space="preserve">                </w:t>
      </w:r>
    </w:p>
    <w:p>
      <w:pPr>
        <w:spacing w:line="360" w:lineRule="auto"/>
        <w:ind w:firstLine="3120" w:firstLineChars="1300"/>
        <w:rPr>
          <w:rFonts w:ascii="宋体" w:hAnsi="宋体"/>
          <w:sz w:val="24"/>
          <w:u w:val="single"/>
        </w:rPr>
      </w:pPr>
      <w:r>
        <w:rPr>
          <w:rFonts w:hint="eastAsia" w:ascii="宋体" w:hAnsi="宋体"/>
          <w:sz w:val="24"/>
        </w:rPr>
        <w:t>磋商响应供应商代表签字：</w:t>
      </w:r>
      <w:r>
        <w:rPr>
          <w:rFonts w:hint="eastAsia" w:ascii="宋体" w:hAnsi="宋体"/>
          <w:sz w:val="24"/>
          <w:u w:val="single"/>
        </w:rPr>
        <w:t xml:space="preserve">                        </w:t>
      </w:r>
    </w:p>
    <w:p>
      <w:pPr>
        <w:spacing w:line="360" w:lineRule="auto"/>
        <w:ind w:firstLine="3120" w:firstLineChars="130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auto"/>
        <w:ind w:firstLine="4200" w:firstLineChars="1750"/>
        <w:rPr>
          <w:rFonts w:ascii="宋体" w:hAnsi="宋体"/>
          <w:sz w:val="24"/>
          <w:u w:val="single"/>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rPr>
        <w:t>分项报价表</w:t>
      </w:r>
    </w:p>
    <w:p>
      <w:pPr>
        <w:tabs>
          <w:tab w:val="left" w:pos="13000"/>
        </w:tabs>
        <w:spacing w:line="360" w:lineRule="auto"/>
        <w:rPr>
          <w:rFonts w:ascii="宋体" w:hAnsi="宋体"/>
          <w:sz w:val="24"/>
        </w:rPr>
      </w:pPr>
    </w:p>
    <w:p>
      <w:pPr>
        <w:tabs>
          <w:tab w:val="left" w:pos="13000"/>
        </w:tabs>
        <w:spacing w:line="360" w:lineRule="auto"/>
        <w:rPr>
          <w:rFonts w:ascii="宋体" w:hAnsi="宋体" w:cs="宋体"/>
          <w:sz w:val="24"/>
        </w:rPr>
      </w:pPr>
      <w:r>
        <w:rPr>
          <w:rFonts w:hint="eastAsia" w:ascii="宋体" w:hAnsi="宋体" w:cs="宋体"/>
          <w:sz w:val="24"/>
        </w:rPr>
        <w:t xml:space="preserve">磋商响应供应商名称(公章)：         项目编号：               货币单位： </w:t>
      </w:r>
    </w:p>
    <w:tbl>
      <w:tblPr>
        <w:tblStyle w:val="24"/>
        <w:tblW w:w="87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8"/>
        <w:gridCol w:w="2366"/>
        <w:gridCol w:w="1005"/>
        <w:gridCol w:w="88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rPr>
                <w:rFonts w:ascii="宋体" w:hAnsi="宋体" w:cs="宋体"/>
                <w:sz w:val="24"/>
              </w:rPr>
            </w:pPr>
            <w:r>
              <w:rPr>
                <w:rFonts w:hint="eastAsia" w:ascii="宋体" w:hAnsi="宋体" w:cs="宋体"/>
                <w:sz w:val="24"/>
              </w:rPr>
              <w:t xml:space="preserve"> 序号</w:t>
            </w:r>
          </w:p>
        </w:tc>
        <w:tc>
          <w:tcPr>
            <w:tcW w:w="2268" w:type="dxa"/>
          </w:tcPr>
          <w:p>
            <w:pPr>
              <w:rPr>
                <w:rFonts w:ascii="宋体" w:hAnsi="宋体" w:cs="宋体"/>
                <w:sz w:val="24"/>
              </w:rPr>
            </w:pPr>
            <w:r>
              <w:rPr>
                <w:rFonts w:hint="eastAsia" w:ascii="宋体" w:hAnsi="宋体" w:cs="宋体"/>
                <w:sz w:val="24"/>
              </w:rPr>
              <w:t>名称</w:t>
            </w:r>
          </w:p>
        </w:tc>
        <w:tc>
          <w:tcPr>
            <w:tcW w:w="2366" w:type="dxa"/>
          </w:tcPr>
          <w:p>
            <w:pPr>
              <w:rPr>
                <w:rFonts w:ascii="宋体" w:hAnsi="宋体" w:cs="宋体"/>
                <w:sz w:val="24"/>
              </w:rPr>
            </w:pPr>
            <w:r>
              <w:rPr>
                <w:rFonts w:hint="eastAsia" w:ascii="宋体" w:hAnsi="宋体" w:cs="宋体"/>
                <w:sz w:val="24"/>
              </w:rPr>
              <w:t>型号/规格</w:t>
            </w:r>
          </w:p>
        </w:tc>
        <w:tc>
          <w:tcPr>
            <w:tcW w:w="1005" w:type="dxa"/>
          </w:tcPr>
          <w:p>
            <w:pPr>
              <w:rPr>
                <w:rFonts w:ascii="宋体" w:hAnsi="宋体" w:cs="宋体"/>
                <w:sz w:val="24"/>
              </w:rPr>
            </w:pPr>
            <w:r>
              <w:rPr>
                <w:rFonts w:hint="eastAsia" w:ascii="宋体" w:hAnsi="宋体" w:cs="宋体"/>
                <w:sz w:val="24"/>
              </w:rPr>
              <w:t>数量</w:t>
            </w:r>
          </w:p>
        </w:tc>
        <w:tc>
          <w:tcPr>
            <w:tcW w:w="885" w:type="dxa"/>
          </w:tcPr>
          <w:p>
            <w:pPr>
              <w:rPr>
                <w:rFonts w:ascii="宋体" w:hAnsi="宋体" w:cs="宋体"/>
                <w:sz w:val="24"/>
              </w:rPr>
            </w:pPr>
            <w:r>
              <w:rPr>
                <w:rFonts w:hint="eastAsia" w:ascii="宋体" w:hAnsi="宋体" w:cs="宋体"/>
                <w:sz w:val="24"/>
              </w:rPr>
              <w:t>单价</w:t>
            </w:r>
          </w:p>
        </w:tc>
        <w:tc>
          <w:tcPr>
            <w:tcW w:w="1125" w:type="dxa"/>
          </w:tcPr>
          <w:p>
            <w:pPr>
              <w:rPr>
                <w:rFonts w:ascii="宋体" w:hAnsi="宋体" w:cs="宋体"/>
                <w:sz w:val="24"/>
              </w:rPr>
            </w:pPr>
            <w:r>
              <w:rPr>
                <w:rFonts w:hint="eastAsia" w:ascii="宋体" w:hAnsi="宋体" w:cs="宋体"/>
                <w:sz w:val="24"/>
              </w:rPr>
              <w:t>金额</w:t>
            </w:r>
          </w:p>
        </w:tc>
      </w:tr>
      <w:tr>
        <w:tblPrEx>
          <w:tblLayout w:type="fixed"/>
          <w:tblCellMar>
            <w:top w:w="0" w:type="dxa"/>
            <w:left w:w="108" w:type="dxa"/>
            <w:bottom w:w="0" w:type="dxa"/>
            <w:right w:w="108" w:type="dxa"/>
          </w:tblCellMar>
        </w:tblPrEx>
        <w:tc>
          <w:tcPr>
            <w:tcW w:w="1134" w:type="dxa"/>
          </w:tcPr>
          <w:p>
            <w:pPr>
              <w:rPr>
                <w:rFonts w:ascii="宋体" w:hAnsi="宋体" w:cs="宋体"/>
                <w:sz w:val="24"/>
              </w:rPr>
            </w:pPr>
            <w:r>
              <w:rPr>
                <w:rFonts w:hint="eastAsia" w:ascii="宋体" w:hAnsi="宋体" w:cs="宋体"/>
                <w:sz w:val="24"/>
              </w:rPr>
              <w:t>1</w:t>
            </w:r>
          </w:p>
        </w:tc>
        <w:tc>
          <w:tcPr>
            <w:tcW w:w="2268" w:type="dxa"/>
          </w:tcPr>
          <w:p>
            <w:pPr>
              <w:rPr>
                <w:rFonts w:ascii="宋体" w:hAnsi="宋体" w:cs="宋体"/>
                <w:sz w:val="24"/>
              </w:rPr>
            </w:pPr>
          </w:p>
        </w:tc>
        <w:tc>
          <w:tcPr>
            <w:tcW w:w="2366" w:type="dxa"/>
          </w:tcPr>
          <w:p>
            <w:pPr>
              <w:rPr>
                <w:rFonts w:ascii="宋体" w:hAnsi="宋体" w:cs="宋体"/>
                <w:sz w:val="24"/>
              </w:rPr>
            </w:pPr>
          </w:p>
        </w:tc>
        <w:tc>
          <w:tcPr>
            <w:tcW w:w="1005" w:type="dxa"/>
          </w:tcPr>
          <w:p>
            <w:pPr>
              <w:rPr>
                <w:rFonts w:ascii="宋体" w:hAnsi="宋体" w:cs="宋体"/>
                <w:sz w:val="24"/>
              </w:rPr>
            </w:pPr>
          </w:p>
        </w:tc>
        <w:tc>
          <w:tcPr>
            <w:tcW w:w="885" w:type="dxa"/>
          </w:tcPr>
          <w:p>
            <w:pPr>
              <w:rPr>
                <w:rFonts w:ascii="宋体" w:hAnsi="宋体" w:cs="宋体"/>
                <w:sz w:val="24"/>
              </w:rPr>
            </w:pPr>
          </w:p>
        </w:tc>
        <w:tc>
          <w:tcPr>
            <w:tcW w:w="1125"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rPr>
                <w:rFonts w:ascii="宋体" w:hAnsi="宋体" w:cs="宋体"/>
                <w:sz w:val="24"/>
              </w:rPr>
            </w:pPr>
            <w:r>
              <w:rPr>
                <w:rFonts w:hint="eastAsia" w:ascii="宋体" w:hAnsi="宋体" w:cs="宋体"/>
                <w:sz w:val="24"/>
              </w:rPr>
              <w:t>2</w:t>
            </w:r>
          </w:p>
        </w:tc>
        <w:tc>
          <w:tcPr>
            <w:tcW w:w="2268" w:type="dxa"/>
          </w:tcPr>
          <w:p>
            <w:pPr>
              <w:rPr>
                <w:rFonts w:ascii="宋体" w:hAnsi="宋体" w:cs="宋体"/>
                <w:sz w:val="24"/>
              </w:rPr>
            </w:pPr>
          </w:p>
        </w:tc>
        <w:tc>
          <w:tcPr>
            <w:tcW w:w="2366" w:type="dxa"/>
          </w:tcPr>
          <w:p>
            <w:pPr>
              <w:rPr>
                <w:rFonts w:ascii="宋体" w:hAnsi="宋体" w:cs="宋体"/>
                <w:sz w:val="24"/>
              </w:rPr>
            </w:pPr>
          </w:p>
        </w:tc>
        <w:tc>
          <w:tcPr>
            <w:tcW w:w="1005" w:type="dxa"/>
          </w:tcPr>
          <w:p>
            <w:pPr>
              <w:rPr>
                <w:rFonts w:ascii="宋体" w:hAnsi="宋体" w:cs="宋体"/>
                <w:sz w:val="24"/>
              </w:rPr>
            </w:pPr>
          </w:p>
        </w:tc>
        <w:tc>
          <w:tcPr>
            <w:tcW w:w="885" w:type="dxa"/>
          </w:tcPr>
          <w:p>
            <w:pPr>
              <w:rPr>
                <w:rFonts w:ascii="宋体" w:hAnsi="宋体" w:cs="宋体"/>
                <w:sz w:val="24"/>
              </w:rPr>
            </w:pPr>
          </w:p>
        </w:tc>
        <w:tc>
          <w:tcPr>
            <w:tcW w:w="1125" w:type="dxa"/>
          </w:tcPr>
          <w:p>
            <w:pPr>
              <w:rPr>
                <w:rFonts w:ascii="宋体" w:hAnsi="宋体" w:cs="宋体"/>
                <w:sz w:val="24"/>
              </w:rPr>
            </w:pPr>
          </w:p>
        </w:tc>
      </w:tr>
      <w:tr>
        <w:tblPrEx>
          <w:tblLayout w:type="fixed"/>
          <w:tblCellMar>
            <w:top w:w="0" w:type="dxa"/>
            <w:left w:w="108" w:type="dxa"/>
            <w:bottom w:w="0" w:type="dxa"/>
            <w:right w:w="108" w:type="dxa"/>
          </w:tblCellMar>
        </w:tblPrEx>
        <w:tc>
          <w:tcPr>
            <w:tcW w:w="1134" w:type="dxa"/>
          </w:tcPr>
          <w:p>
            <w:pPr>
              <w:rPr>
                <w:rFonts w:ascii="宋体" w:hAnsi="宋体" w:cs="宋体"/>
                <w:sz w:val="24"/>
              </w:rPr>
            </w:pPr>
            <w:r>
              <w:rPr>
                <w:rFonts w:hint="eastAsia" w:ascii="宋体" w:hAnsi="宋体" w:cs="宋体"/>
                <w:sz w:val="24"/>
              </w:rPr>
              <w:t>3</w:t>
            </w:r>
          </w:p>
        </w:tc>
        <w:tc>
          <w:tcPr>
            <w:tcW w:w="2268" w:type="dxa"/>
          </w:tcPr>
          <w:p>
            <w:pPr>
              <w:rPr>
                <w:rFonts w:ascii="宋体" w:hAnsi="宋体" w:cs="宋体"/>
                <w:sz w:val="24"/>
              </w:rPr>
            </w:pPr>
          </w:p>
        </w:tc>
        <w:tc>
          <w:tcPr>
            <w:tcW w:w="2366" w:type="dxa"/>
          </w:tcPr>
          <w:p>
            <w:pPr>
              <w:rPr>
                <w:rFonts w:ascii="宋体" w:hAnsi="宋体" w:cs="宋体"/>
                <w:sz w:val="24"/>
              </w:rPr>
            </w:pPr>
          </w:p>
        </w:tc>
        <w:tc>
          <w:tcPr>
            <w:tcW w:w="1005" w:type="dxa"/>
          </w:tcPr>
          <w:p>
            <w:pPr>
              <w:rPr>
                <w:rFonts w:ascii="宋体" w:hAnsi="宋体" w:cs="宋体"/>
                <w:sz w:val="24"/>
              </w:rPr>
            </w:pPr>
          </w:p>
        </w:tc>
        <w:tc>
          <w:tcPr>
            <w:tcW w:w="885" w:type="dxa"/>
          </w:tcPr>
          <w:p>
            <w:pPr>
              <w:rPr>
                <w:rFonts w:ascii="宋体" w:hAnsi="宋体" w:cs="宋体"/>
                <w:sz w:val="24"/>
              </w:rPr>
            </w:pPr>
          </w:p>
        </w:tc>
        <w:tc>
          <w:tcPr>
            <w:tcW w:w="1125"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34" w:type="dxa"/>
          </w:tcPr>
          <w:p>
            <w:pPr>
              <w:rPr>
                <w:rFonts w:ascii="宋体" w:hAnsi="宋体" w:cs="宋体"/>
                <w:sz w:val="24"/>
              </w:rPr>
            </w:pPr>
            <w:r>
              <w:rPr>
                <w:rFonts w:hint="eastAsia" w:ascii="宋体" w:hAnsi="宋体" w:cs="宋体"/>
                <w:sz w:val="24"/>
              </w:rPr>
              <w:t>4</w:t>
            </w:r>
          </w:p>
        </w:tc>
        <w:tc>
          <w:tcPr>
            <w:tcW w:w="2268" w:type="dxa"/>
          </w:tcPr>
          <w:p>
            <w:pPr>
              <w:rPr>
                <w:rFonts w:ascii="宋体" w:hAnsi="宋体" w:cs="宋体"/>
                <w:sz w:val="24"/>
              </w:rPr>
            </w:pPr>
          </w:p>
        </w:tc>
        <w:tc>
          <w:tcPr>
            <w:tcW w:w="2366" w:type="dxa"/>
          </w:tcPr>
          <w:p>
            <w:pPr>
              <w:rPr>
                <w:rFonts w:ascii="宋体" w:hAnsi="宋体" w:cs="宋体"/>
                <w:sz w:val="24"/>
              </w:rPr>
            </w:pPr>
          </w:p>
        </w:tc>
        <w:tc>
          <w:tcPr>
            <w:tcW w:w="1005" w:type="dxa"/>
          </w:tcPr>
          <w:p>
            <w:pPr>
              <w:rPr>
                <w:rFonts w:ascii="宋体" w:hAnsi="宋体" w:cs="宋体"/>
                <w:sz w:val="24"/>
              </w:rPr>
            </w:pPr>
          </w:p>
        </w:tc>
        <w:tc>
          <w:tcPr>
            <w:tcW w:w="885" w:type="dxa"/>
          </w:tcPr>
          <w:p>
            <w:pPr>
              <w:rPr>
                <w:rFonts w:ascii="宋体" w:hAnsi="宋体" w:cs="宋体"/>
                <w:sz w:val="24"/>
              </w:rPr>
            </w:pPr>
          </w:p>
        </w:tc>
        <w:tc>
          <w:tcPr>
            <w:tcW w:w="1125" w:type="dxa"/>
          </w:tcPr>
          <w:p>
            <w:pPr>
              <w:rPr>
                <w:rFonts w:ascii="宋体" w:hAnsi="宋体" w:cs="宋体"/>
                <w:sz w:val="24"/>
              </w:rPr>
            </w:pPr>
          </w:p>
        </w:tc>
      </w:tr>
      <w:tr>
        <w:tblPrEx>
          <w:tblLayout w:type="fixed"/>
          <w:tblCellMar>
            <w:top w:w="0" w:type="dxa"/>
            <w:left w:w="108" w:type="dxa"/>
            <w:bottom w:w="0" w:type="dxa"/>
            <w:right w:w="108" w:type="dxa"/>
          </w:tblCellMar>
        </w:tblPrEx>
        <w:tc>
          <w:tcPr>
            <w:tcW w:w="1134" w:type="dxa"/>
          </w:tcPr>
          <w:p>
            <w:pPr>
              <w:rPr>
                <w:rFonts w:ascii="宋体" w:hAnsi="宋体" w:cs="宋体"/>
                <w:sz w:val="24"/>
              </w:rPr>
            </w:pPr>
            <w:r>
              <w:rPr>
                <w:rFonts w:hint="eastAsia" w:ascii="宋体" w:hAnsi="宋体" w:cs="宋体"/>
                <w:sz w:val="24"/>
              </w:rPr>
              <w:t>5</w:t>
            </w:r>
          </w:p>
        </w:tc>
        <w:tc>
          <w:tcPr>
            <w:tcW w:w="2268" w:type="dxa"/>
          </w:tcPr>
          <w:p>
            <w:pPr>
              <w:rPr>
                <w:rFonts w:ascii="宋体" w:hAnsi="宋体" w:cs="宋体"/>
                <w:sz w:val="24"/>
              </w:rPr>
            </w:pPr>
          </w:p>
        </w:tc>
        <w:tc>
          <w:tcPr>
            <w:tcW w:w="2366" w:type="dxa"/>
          </w:tcPr>
          <w:p>
            <w:pPr>
              <w:rPr>
                <w:rFonts w:ascii="宋体" w:hAnsi="宋体" w:cs="宋体"/>
                <w:sz w:val="24"/>
              </w:rPr>
            </w:pPr>
          </w:p>
        </w:tc>
        <w:tc>
          <w:tcPr>
            <w:tcW w:w="1005" w:type="dxa"/>
          </w:tcPr>
          <w:p>
            <w:pPr>
              <w:rPr>
                <w:rFonts w:ascii="宋体" w:hAnsi="宋体" w:cs="宋体"/>
                <w:sz w:val="24"/>
              </w:rPr>
            </w:pPr>
          </w:p>
        </w:tc>
        <w:tc>
          <w:tcPr>
            <w:tcW w:w="885" w:type="dxa"/>
          </w:tcPr>
          <w:p>
            <w:pPr>
              <w:rPr>
                <w:rFonts w:ascii="宋体" w:hAnsi="宋体" w:cs="宋体"/>
                <w:sz w:val="24"/>
              </w:rPr>
            </w:pPr>
          </w:p>
        </w:tc>
        <w:tc>
          <w:tcPr>
            <w:tcW w:w="1125"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rPr>
                <w:rFonts w:ascii="宋体" w:hAnsi="宋体" w:cs="宋体"/>
                <w:sz w:val="24"/>
              </w:rPr>
            </w:pPr>
            <w:r>
              <w:rPr>
                <w:rFonts w:hint="eastAsia" w:ascii="宋体" w:hAnsi="宋体" w:cs="宋体"/>
                <w:sz w:val="24"/>
              </w:rPr>
              <w:t>6</w:t>
            </w:r>
          </w:p>
        </w:tc>
        <w:tc>
          <w:tcPr>
            <w:tcW w:w="2268" w:type="dxa"/>
          </w:tcPr>
          <w:p>
            <w:pPr>
              <w:rPr>
                <w:rFonts w:ascii="宋体" w:hAnsi="宋体" w:cs="宋体"/>
                <w:sz w:val="24"/>
              </w:rPr>
            </w:pPr>
          </w:p>
        </w:tc>
        <w:tc>
          <w:tcPr>
            <w:tcW w:w="2366" w:type="dxa"/>
          </w:tcPr>
          <w:p>
            <w:pPr>
              <w:rPr>
                <w:rFonts w:ascii="宋体" w:hAnsi="宋体" w:cs="宋体"/>
                <w:sz w:val="24"/>
              </w:rPr>
            </w:pPr>
          </w:p>
        </w:tc>
        <w:tc>
          <w:tcPr>
            <w:tcW w:w="1005" w:type="dxa"/>
          </w:tcPr>
          <w:p>
            <w:pPr>
              <w:rPr>
                <w:rFonts w:ascii="宋体" w:hAnsi="宋体" w:cs="宋体"/>
                <w:sz w:val="24"/>
              </w:rPr>
            </w:pPr>
          </w:p>
        </w:tc>
        <w:tc>
          <w:tcPr>
            <w:tcW w:w="885" w:type="dxa"/>
          </w:tcPr>
          <w:p>
            <w:pPr>
              <w:rPr>
                <w:rFonts w:ascii="宋体" w:hAnsi="宋体" w:cs="宋体"/>
                <w:sz w:val="24"/>
              </w:rPr>
            </w:pPr>
          </w:p>
        </w:tc>
        <w:tc>
          <w:tcPr>
            <w:tcW w:w="1125" w:type="dxa"/>
          </w:tcPr>
          <w:p>
            <w:pPr>
              <w:rPr>
                <w:rFonts w:ascii="宋体" w:hAnsi="宋体" w:cs="宋体"/>
                <w:sz w:val="24"/>
              </w:rPr>
            </w:pPr>
          </w:p>
        </w:tc>
      </w:tr>
      <w:tr>
        <w:tblPrEx>
          <w:tblLayout w:type="fixed"/>
          <w:tblCellMar>
            <w:top w:w="0" w:type="dxa"/>
            <w:left w:w="108" w:type="dxa"/>
            <w:bottom w:w="0" w:type="dxa"/>
            <w:right w:w="108" w:type="dxa"/>
          </w:tblCellMar>
        </w:tblPrEx>
        <w:tc>
          <w:tcPr>
            <w:tcW w:w="1134" w:type="dxa"/>
          </w:tcPr>
          <w:p>
            <w:pPr>
              <w:rPr>
                <w:rFonts w:ascii="宋体" w:hAnsi="宋体" w:cs="宋体"/>
                <w:sz w:val="24"/>
              </w:rPr>
            </w:pPr>
            <w:r>
              <w:rPr>
                <w:rFonts w:hint="eastAsia" w:ascii="宋体" w:hAnsi="宋体" w:cs="宋体"/>
                <w:sz w:val="24"/>
              </w:rPr>
              <w:t>7</w:t>
            </w:r>
          </w:p>
        </w:tc>
        <w:tc>
          <w:tcPr>
            <w:tcW w:w="2268" w:type="dxa"/>
          </w:tcPr>
          <w:p>
            <w:pPr>
              <w:rPr>
                <w:rFonts w:ascii="宋体" w:hAnsi="宋体" w:cs="宋体"/>
                <w:sz w:val="24"/>
              </w:rPr>
            </w:pPr>
          </w:p>
        </w:tc>
        <w:tc>
          <w:tcPr>
            <w:tcW w:w="2366" w:type="dxa"/>
          </w:tcPr>
          <w:p>
            <w:pPr>
              <w:rPr>
                <w:rFonts w:ascii="宋体" w:hAnsi="宋体" w:cs="宋体"/>
                <w:sz w:val="24"/>
              </w:rPr>
            </w:pPr>
          </w:p>
        </w:tc>
        <w:tc>
          <w:tcPr>
            <w:tcW w:w="1005" w:type="dxa"/>
          </w:tcPr>
          <w:p>
            <w:pPr>
              <w:rPr>
                <w:rFonts w:ascii="宋体" w:hAnsi="宋体" w:cs="宋体"/>
                <w:sz w:val="24"/>
              </w:rPr>
            </w:pPr>
          </w:p>
        </w:tc>
        <w:tc>
          <w:tcPr>
            <w:tcW w:w="885" w:type="dxa"/>
          </w:tcPr>
          <w:p>
            <w:pPr>
              <w:rPr>
                <w:rFonts w:ascii="宋体" w:hAnsi="宋体" w:cs="宋体"/>
                <w:sz w:val="24"/>
              </w:rPr>
            </w:pPr>
          </w:p>
        </w:tc>
        <w:tc>
          <w:tcPr>
            <w:tcW w:w="1125"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rPr>
                <w:rFonts w:ascii="宋体" w:hAnsi="宋体" w:cs="宋体"/>
                <w:sz w:val="24"/>
              </w:rPr>
            </w:pPr>
            <w:r>
              <w:rPr>
                <w:rFonts w:hint="eastAsia" w:ascii="宋体" w:hAnsi="宋体" w:cs="宋体"/>
                <w:sz w:val="24"/>
              </w:rPr>
              <w:t>8</w:t>
            </w:r>
          </w:p>
        </w:tc>
        <w:tc>
          <w:tcPr>
            <w:tcW w:w="2268" w:type="dxa"/>
          </w:tcPr>
          <w:p>
            <w:pPr>
              <w:rPr>
                <w:rFonts w:ascii="宋体" w:hAnsi="宋体" w:cs="宋体"/>
                <w:sz w:val="24"/>
              </w:rPr>
            </w:pPr>
          </w:p>
        </w:tc>
        <w:tc>
          <w:tcPr>
            <w:tcW w:w="2366" w:type="dxa"/>
          </w:tcPr>
          <w:p>
            <w:pPr>
              <w:rPr>
                <w:rFonts w:ascii="宋体" w:hAnsi="宋体" w:cs="宋体"/>
                <w:sz w:val="24"/>
              </w:rPr>
            </w:pPr>
          </w:p>
        </w:tc>
        <w:tc>
          <w:tcPr>
            <w:tcW w:w="1005" w:type="dxa"/>
          </w:tcPr>
          <w:p>
            <w:pPr>
              <w:rPr>
                <w:rFonts w:ascii="宋体" w:hAnsi="宋体" w:cs="宋体"/>
                <w:sz w:val="24"/>
              </w:rPr>
            </w:pPr>
          </w:p>
        </w:tc>
        <w:tc>
          <w:tcPr>
            <w:tcW w:w="885" w:type="dxa"/>
          </w:tcPr>
          <w:p>
            <w:pPr>
              <w:rPr>
                <w:rFonts w:ascii="宋体" w:hAnsi="宋体" w:cs="宋体"/>
                <w:sz w:val="24"/>
              </w:rPr>
            </w:pPr>
          </w:p>
        </w:tc>
        <w:tc>
          <w:tcPr>
            <w:tcW w:w="1125" w:type="dxa"/>
          </w:tcPr>
          <w:p>
            <w:pPr>
              <w:rPr>
                <w:rFonts w:ascii="宋体" w:hAnsi="宋体" w:cs="宋体"/>
                <w:sz w:val="24"/>
              </w:rPr>
            </w:pPr>
          </w:p>
        </w:tc>
      </w:tr>
      <w:tr>
        <w:tblPrEx>
          <w:tblLayout w:type="fixed"/>
          <w:tblCellMar>
            <w:top w:w="0" w:type="dxa"/>
            <w:left w:w="108" w:type="dxa"/>
            <w:bottom w:w="0" w:type="dxa"/>
            <w:right w:w="108" w:type="dxa"/>
          </w:tblCellMar>
        </w:tblPrEx>
        <w:tc>
          <w:tcPr>
            <w:tcW w:w="1134" w:type="dxa"/>
          </w:tcPr>
          <w:p>
            <w:pPr>
              <w:rPr>
                <w:rFonts w:ascii="宋体" w:hAnsi="宋体" w:cs="宋体"/>
                <w:sz w:val="24"/>
              </w:rPr>
            </w:pPr>
            <w:r>
              <w:rPr>
                <w:rFonts w:hint="eastAsia" w:ascii="宋体" w:hAnsi="宋体" w:cs="宋体"/>
                <w:sz w:val="24"/>
              </w:rPr>
              <w:t>9</w:t>
            </w:r>
          </w:p>
        </w:tc>
        <w:tc>
          <w:tcPr>
            <w:tcW w:w="2268" w:type="dxa"/>
          </w:tcPr>
          <w:p>
            <w:pPr>
              <w:rPr>
                <w:rFonts w:ascii="宋体" w:hAnsi="宋体" w:cs="宋体"/>
                <w:sz w:val="24"/>
              </w:rPr>
            </w:pPr>
          </w:p>
        </w:tc>
        <w:tc>
          <w:tcPr>
            <w:tcW w:w="2366" w:type="dxa"/>
          </w:tcPr>
          <w:p>
            <w:pPr>
              <w:rPr>
                <w:rFonts w:ascii="宋体" w:hAnsi="宋体" w:cs="宋体"/>
                <w:sz w:val="24"/>
              </w:rPr>
            </w:pPr>
          </w:p>
        </w:tc>
        <w:tc>
          <w:tcPr>
            <w:tcW w:w="1005" w:type="dxa"/>
          </w:tcPr>
          <w:p>
            <w:pPr>
              <w:rPr>
                <w:rFonts w:ascii="宋体" w:hAnsi="宋体" w:cs="宋体"/>
                <w:sz w:val="24"/>
              </w:rPr>
            </w:pPr>
          </w:p>
        </w:tc>
        <w:tc>
          <w:tcPr>
            <w:tcW w:w="885" w:type="dxa"/>
          </w:tcPr>
          <w:p>
            <w:pPr>
              <w:rPr>
                <w:rFonts w:ascii="宋体" w:hAnsi="宋体" w:cs="宋体"/>
                <w:sz w:val="24"/>
              </w:rPr>
            </w:pPr>
          </w:p>
        </w:tc>
        <w:tc>
          <w:tcPr>
            <w:tcW w:w="1125"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rPr>
                <w:rFonts w:ascii="宋体" w:hAnsi="宋体" w:cs="宋体"/>
                <w:sz w:val="24"/>
              </w:rPr>
            </w:pPr>
            <w:r>
              <w:rPr>
                <w:rFonts w:hint="eastAsia" w:ascii="宋体" w:hAnsi="宋体" w:cs="宋体"/>
                <w:sz w:val="24"/>
              </w:rPr>
              <w:t>10</w:t>
            </w:r>
          </w:p>
        </w:tc>
        <w:tc>
          <w:tcPr>
            <w:tcW w:w="2268" w:type="dxa"/>
          </w:tcPr>
          <w:p>
            <w:pPr>
              <w:rPr>
                <w:rFonts w:ascii="宋体" w:hAnsi="宋体" w:cs="宋体"/>
                <w:sz w:val="24"/>
              </w:rPr>
            </w:pPr>
          </w:p>
        </w:tc>
        <w:tc>
          <w:tcPr>
            <w:tcW w:w="2366" w:type="dxa"/>
          </w:tcPr>
          <w:p>
            <w:pPr>
              <w:rPr>
                <w:rFonts w:ascii="宋体" w:hAnsi="宋体" w:cs="宋体"/>
                <w:sz w:val="24"/>
              </w:rPr>
            </w:pPr>
          </w:p>
        </w:tc>
        <w:tc>
          <w:tcPr>
            <w:tcW w:w="1005" w:type="dxa"/>
          </w:tcPr>
          <w:p>
            <w:pPr>
              <w:rPr>
                <w:rFonts w:ascii="宋体" w:hAnsi="宋体" w:cs="宋体"/>
                <w:sz w:val="24"/>
              </w:rPr>
            </w:pPr>
          </w:p>
        </w:tc>
        <w:tc>
          <w:tcPr>
            <w:tcW w:w="885" w:type="dxa"/>
          </w:tcPr>
          <w:p>
            <w:pPr>
              <w:rPr>
                <w:rFonts w:ascii="宋体" w:hAnsi="宋体" w:cs="宋体"/>
                <w:sz w:val="24"/>
              </w:rPr>
            </w:pPr>
          </w:p>
        </w:tc>
        <w:tc>
          <w:tcPr>
            <w:tcW w:w="1125" w:type="dxa"/>
          </w:tcPr>
          <w:p>
            <w:pPr>
              <w:rPr>
                <w:rFonts w:ascii="宋体" w:hAnsi="宋体" w:cs="宋体"/>
                <w:sz w:val="24"/>
              </w:rPr>
            </w:pPr>
          </w:p>
        </w:tc>
      </w:tr>
      <w:tr>
        <w:tblPrEx>
          <w:tblLayout w:type="fixed"/>
          <w:tblCellMar>
            <w:top w:w="0" w:type="dxa"/>
            <w:left w:w="108" w:type="dxa"/>
            <w:bottom w:w="0" w:type="dxa"/>
            <w:right w:w="108" w:type="dxa"/>
          </w:tblCellMar>
        </w:tblPrEx>
        <w:tc>
          <w:tcPr>
            <w:tcW w:w="1134" w:type="dxa"/>
          </w:tcPr>
          <w:p>
            <w:pPr>
              <w:rPr>
                <w:rFonts w:ascii="宋体" w:hAnsi="宋体" w:cs="宋体"/>
                <w:sz w:val="24"/>
              </w:rPr>
            </w:pPr>
          </w:p>
        </w:tc>
        <w:tc>
          <w:tcPr>
            <w:tcW w:w="2268" w:type="dxa"/>
          </w:tcPr>
          <w:p>
            <w:pPr>
              <w:rPr>
                <w:rFonts w:ascii="宋体" w:hAnsi="宋体" w:cs="宋体"/>
                <w:sz w:val="24"/>
              </w:rPr>
            </w:pPr>
            <w:r>
              <w:rPr>
                <w:rFonts w:hint="eastAsia" w:ascii="宋体" w:hAnsi="宋体" w:cs="宋体"/>
                <w:sz w:val="24"/>
              </w:rPr>
              <w:t>合计</w:t>
            </w:r>
          </w:p>
        </w:tc>
        <w:tc>
          <w:tcPr>
            <w:tcW w:w="5381" w:type="dxa"/>
            <w:gridSpan w:val="4"/>
          </w:tcPr>
          <w:p>
            <w:pPr>
              <w:rPr>
                <w:rFonts w:ascii="宋体" w:hAnsi="宋体" w:cs="宋体"/>
                <w:sz w:val="24"/>
              </w:rPr>
            </w:pPr>
            <w:r>
              <w:rPr>
                <w:rFonts w:hint="eastAsia" w:ascii="宋体" w:hAnsi="宋体" w:cs="宋体"/>
                <w:sz w:val="24"/>
              </w:rPr>
              <w:t>　</w:t>
            </w:r>
          </w:p>
        </w:tc>
      </w:tr>
    </w:tbl>
    <w:p>
      <w:pPr>
        <w:pStyle w:val="12"/>
        <w:snapToGrid w:val="0"/>
        <w:spacing w:line="360" w:lineRule="auto"/>
        <w:jc w:val="center"/>
        <w:rPr>
          <w:rFonts w:hAnsi="宋体" w:cs="宋体"/>
          <w:sz w:val="24"/>
          <w:szCs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ind w:firstLine="3120" w:firstLineChars="1300"/>
        <w:rPr>
          <w:rFonts w:ascii="宋体" w:hAnsi="宋体"/>
          <w:sz w:val="24"/>
        </w:rPr>
      </w:pPr>
      <w:r>
        <w:rPr>
          <w:rFonts w:hint="eastAsia" w:ascii="宋体" w:hAnsi="宋体"/>
          <w:sz w:val="24"/>
        </w:rPr>
        <w:t>磋商响应供应商全称（加盖公章）：</w:t>
      </w:r>
      <w:r>
        <w:rPr>
          <w:rFonts w:hint="eastAsia" w:ascii="宋体" w:hAnsi="宋体"/>
          <w:sz w:val="24"/>
          <w:u w:val="single"/>
        </w:rPr>
        <w:t xml:space="preserve">                </w:t>
      </w:r>
    </w:p>
    <w:p>
      <w:pPr>
        <w:spacing w:line="360" w:lineRule="auto"/>
        <w:ind w:firstLine="3120" w:firstLineChars="1300"/>
        <w:rPr>
          <w:rFonts w:ascii="宋体" w:hAnsi="宋体"/>
          <w:sz w:val="24"/>
          <w:u w:val="single"/>
        </w:rPr>
      </w:pPr>
      <w:r>
        <w:rPr>
          <w:rFonts w:hint="eastAsia" w:ascii="宋体" w:hAnsi="宋体"/>
          <w:sz w:val="24"/>
        </w:rPr>
        <w:t>磋商响应供应商代表签字：</w:t>
      </w:r>
      <w:r>
        <w:rPr>
          <w:rFonts w:hint="eastAsia" w:ascii="宋体" w:hAnsi="宋体"/>
          <w:sz w:val="24"/>
          <w:u w:val="single"/>
        </w:rPr>
        <w:t xml:space="preserve">                        </w:t>
      </w:r>
    </w:p>
    <w:p>
      <w:pPr>
        <w:spacing w:line="360" w:lineRule="auto"/>
        <w:ind w:firstLine="3120" w:firstLineChars="1300"/>
        <w:rPr>
          <w:rFonts w:ascii="宋体" w:hAnsi="宋体" w:cs="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pStyle w:val="12"/>
        <w:snapToGrid w:val="0"/>
        <w:spacing w:line="360" w:lineRule="auto"/>
        <w:jc w:val="center"/>
        <w:rPr>
          <w:sz w:val="24"/>
        </w:rPr>
      </w:pPr>
      <w:r>
        <w:br w:type="page"/>
      </w:r>
      <w:r>
        <w:rPr>
          <w:rFonts w:hint="eastAsia" w:ascii="Times New Roman" w:hAnsi="Times New Roman"/>
          <w:b/>
          <w:sz w:val="36"/>
          <w:szCs w:val="36"/>
        </w:rPr>
        <w:t>货物说明一览表</w:t>
      </w:r>
      <w:r>
        <w:rPr>
          <w:rFonts w:hint="eastAsia" w:ascii="Times New Roman" w:hAnsi="Times New Roman"/>
          <w:b/>
          <w:sz w:val="36"/>
          <w:szCs w:val="36"/>
        </w:rPr>
        <w:cr/>
      </w:r>
      <w:r>
        <w:rPr>
          <w:rFonts w:hint="eastAsia"/>
        </w:rPr>
        <w:t xml:space="preserve"> </w:t>
      </w:r>
      <w:r>
        <w:rPr>
          <w:rFonts w:hint="eastAsia"/>
          <w:sz w:val="24"/>
        </w:rPr>
        <w:t>（按报价货物合同包下品目号类别分别填写）</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磋商响应供应商名称(公章)：                                      项目编号∶</w:t>
      </w:r>
    </w:p>
    <w:tbl>
      <w:tblPr>
        <w:tblStyle w:val="24"/>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339"/>
        <w:gridCol w:w="1183"/>
        <w:gridCol w:w="1388"/>
        <w:gridCol w:w="1271"/>
        <w:gridCol w:w="1297"/>
        <w:gridCol w:w="80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227" w:type="dxa"/>
            <w:vAlign w:val="center"/>
          </w:tcPr>
          <w:p>
            <w:pPr>
              <w:spacing w:line="360" w:lineRule="auto"/>
              <w:rPr>
                <w:rFonts w:ascii="宋体" w:hAnsi="宋体"/>
                <w:sz w:val="24"/>
              </w:rPr>
            </w:pPr>
            <w:r>
              <w:rPr>
                <w:rFonts w:hint="eastAsia" w:ascii="宋体" w:hAnsi="宋体"/>
                <w:sz w:val="24"/>
              </w:rPr>
              <w:t>序号</w:t>
            </w:r>
          </w:p>
        </w:tc>
        <w:tc>
          <w:tcPr>
            <w:tcW w:w="1339" w:type="dxa"/>
            <w:vAlign w:val="center"/>
          </w:tcPr>
          <w:p>
            <w:pPr>
              <w:spacing w:line="360" w:lineRule="auto"/>
              <w:rPr>
                <w:rFonts w:ascii="宋体" w:hAnsi="宋体"/>
                <w:sz w:val="24"/>
              </w:rPr>
            </w:pPr>
          </w:p>
        </w:tc>
        <w:tc>
          <w:tcPr>
            <w:tcW w:w="1183" w:type="dxa"/>
            <w:vAlign w:val="center"/>
          </w:tcPr>
          <w:p>
            <w:pPr>
              <w:spacing w:line="360" w:lineRule="auto"/>
              <w:rPr>
                <w:rFonts w:ascii="宋体" w:hAnsi="宋体"/>
                <w:sz w:val="24"/>
              </w:rPr>
            </w:pPr>
            <w:r>
              <w:rPr>
                <w:rFonts w:hint="eastAsia" w:ascii="宋体" w:hAnsi="宋体"/>
                <w:sz w:val="24"/>
              </w:rPr>
              <w:t>货物名称</w:t>
            </w:r>
          </w:p>
        </w:tc>
        <w:tc>
          <w:tcPr>
            <w:tcW w:w="1388" w:type="dxa"/>
            <w:vAlign w:val="center"/>
          </w:tcPr>
          <w:p>
            <w:pPr>
              <w:spacing w:line="360" w:lineRule="auto"/>
              <w:rPr>
                <w:rFonts w:ascii="宋体" w:hAnsi="宋体"/>
                <w:sz w:val="24"/>
              </w:rPr>
            </w:pPr>
          </w:p>
        </w:tc>
        <w:tc>
          <w:tcPr>
            <w:tcW w:w="1271" w:type="dxa"/>
            <w:vAlign w:val="center"/>
          </w:tcPr>
          <w:p>
            <w:pPr>
              <w:spacing w:line="360" w:lineRule="auto"/>
              <w:rPr>
                <w:rFonts w:ascii="宋体" w:hAnsi="宋体"/>
                <w:sz w:val="24"/>
              </w:rPr>
            </w:pPr>
            <w:r>
              <w:rPr>
                <w:rFonts w:hint="eastAsia" w:ascii="宋体" w:hAnsi="宋体"/>
                <w:sz w:val="24"/>
              </w:rPr>
              <w:t>型号规格</w:t>
            </w:r>
          </w:p>
        </w:tc>
        <w:tc>
          <w:tcPr>
            <w:tcW w:w="1297" w:type="dxa"/>
            <w:vAlign w:val="center"/>
          </w:tcPr>
          <w:p>
            <w:pPr>
              <w:spacing w:line="360" w:lineRule="auto"/>
              <w:rPr>
                <w:rFonts w:ascii="宋体" w:hAnsi="宋体"/>
                <w:sz w:val="24"/>
              </w:rPr>
            </w:pPr>
          </w:p>
        </w:tc>
        <w:tc>
          <w:tcPr>
            <w:tcW w:w="803" w:type="dxa"/>
            <w:vAlign w:val="center"/>
          </w:tcPr>
          <w:p>
            <w:pPr>
              <w:spacing w:line="360" w:lineRule="auto"/>
              <w:rPr>
                <w:rFonts w:ascii="宋体" w:hAnsi="宋体"/>
                <w:sz w:val="24"/>
              </w:rPr>
            </w:pPr>
            <w:r>
              <w:rPr>
                <w:rFonts w:hint="eastAsia" w:ascii="宋体" w:hAnsi="宋体"/>
                <w:sz w:val="24"/>
              </w:rPr>
              <w:t>数量</w:t>
            </w:r>
          </w:p>
        </w:tc>
        <w:tc>
          <w:tcPr>
            <w:tcW w:w="893" w:type="dxa"/>
          </w:tcPr>
          <w:p>
            <w:pPr>
              <w:spacing w:line="360" w:lineRule="auto"/>
              <w:rPr>
                <w:rFonts w:ascii="宋体" w:hAnsi="宋体"/>
                <w:sz w:val="24"/>
              </w:rPr>
            </w:pPr>
          </w:p>
        </w:tc>
      </w:tr>
      <w:tr>
        <w:tblPrEx>
          <w:tblLayout w:type="fixed"/>
          <w:tblCellMar>
            <w:top w:w="0" w:type="dxa"/>
            <w:left w:w="108" w:type="dxa"/>
            <w:bottom w:w="0" w:type="dxa"/>
            <w:right w:w="108" w:type="dxa"/>
          </w:tblCellMar>
        </w:tblPrEx>
        <w:trPr>
          <w:cantSplit/>
          <w:trHeight w:val="2796" w:hRule="atLeast"/>
        </w:trPr>
        <w:tc>
          <w:tcPr>
            <w:tcW w:w="9401" w:type="dxa"/>
            <w:gridSpan w:val="8"/>
          </w:tcPr>
          <w:p>
            <w:pPr>
              <w:spacing w:line="360" w:lineRule="auto"/>
              <w:rPr>
                <w:rFonts w:ascii="宋体" w:hAnsi="宋体"/>
                <w:sz w:val="24"/>
              </w:rPr>
            </w:pPr>
            <w:r>
              <w:rPr>
                <w:rFonts w:hint="eastAsia" w:ascii="宋体" w:hAnsi="宋体"/>
                <w:sz w:val="24"/>
              </w:rPr>
              <w:t>详细性能说明</w:t>
            </w:r>
          </w:p>
        </w:tc>
      </w:tr>
    </w:tbl>
    <w:p>
      <w:pPr>
        <w:spacing w:line="360" w:lineRule="auto"/>
        <w:rPr>
          <w:rFonts w:ascii="宋体" w:hAnsi="宋体"/>
          <w:sz w:val="24"/>
        </w:rPr>
      </w:pPr>
    </w:p>
    <w:p>
      <w:pPr>
        <w:spacing w:line="360" w:lineRule="auto"/>
        <w:ind w:firstLine="3120" w:firstLineChars="1300"/>
        <w:rPr>
          <w:rFonts w:ascii="宋体" w:hAnsi="宋体"/>
          <w:sz w:val="24"/>
        </w:rPr>
      </w:pPr>
      <w:bookmarkStart w:id="71" w:name="_Toc185762841"/>
      <w:r>
        <w:rPr>
          <w:rFonts w:hint="eastAsia" w:ascii="宋体" w:hAnsi="宋体"/>
          <w:sz w:val="24"/>
        </w:rPr>
        <w:t>磋商响应供应商全称（加盖公章）：</w:t>
      </w:r>
      <w:r>
        <w:rPr>
          <w:rFonts w:hint="eastAsia" w:ascii="宋体" w:hAnsi="宋体"/>
          <w:sz w:val="24"/>
          <w:u w:val="single"/>
        </w:rPr>
        <w:t xml:space="preserve">                </w:t>
      </w:r>
    </w:p>
    <w:p>
      <w:pPr>
        <w:spacing w:line="360" w:lineRule="auto"/>
        <w:ind w:firstLine="3120" w:firstLineChars="1300"/>
        <w:rPr>
          <w:rFonts w:ascii="宋体" w:hAnsi="宋体"/>
          <w:sz w:val="24"/>
          <w:u w:val="single"/>
        </w:rPr>
      </w:pPr>
      <w:r>
        <w:rPr>
          <w:rFonts w:hint="eastAsia" w:ascii="宋体" w:hAnsi="宋体"/>
          <w:sz w:val="24"/>
        </w:rPr>
        <w:t>磋商响应供应商代表签字：</w:t>
      </w:r>
      <w:r>
        <w:rPr>
          <w:rFonts w:hint="eastAsia" w:ascii="宋体" w:hAnsi="宋体"/>
          <w:sz w:val="24"/>
          <w:u w:val="single"/>
        </w:rPr>
        <w:t xml:space="preserve">                        </w:t>
      </w:r>
    </w:p>
    <w:p>
      <w:pPr>
        <w:spacing w:line="360" w:lineRule="auto"/>
        <w:ind w:firstLine="3120" w:firstLineChars="1300"/>
        <w:rPr>
          <w:rFonts w:ascii="宋体" w:hAnsi="宋体" w:cs="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auto"/>
        <w:jc w:val="center"/>
        <w:rPr>
          <w:rFonts w:ascii="宋体" w:hAnsi="宋体"/>
          <w:b/>
          <w:sz w:val="36"/>
        </w:rPr>
      </w:pPr>
    </w:p>
    <w:p>
      <w:pPr>
        <w:spacing w:line="360" w:lineRule="auto"/>
        <w:jc w:val="center"/>
        <w:rPr>
          <w:rFonts w:ascii="宋体" w:hAnsi="宋体"/>
          <w:b/>
          <w:sz w:val="36"/>
        </w:rPr>
      </w:pPr>
    </w:p>
    <w:bookmarkEnd w:id="71"/>
    <w:p>
      <w:pPr>
        <w:jc w:val="center"/>
        <w:rPr>
          <w:rFonts w:hAnsi="宋体"/>
        </w:rPr>
        <w:sectPr>
          <w:footerReference r:id="rId7" w:type="default"/>
          <w:pgSz w:w="11906" w:h="16838"/>
          <w:pgMar w:top="930" w:right="1179" w:bottom="38" w:left="1179" w:header="851" w:footer="992" w:gutter="0"/>
          <w:cols w:space="0" w:num="1"/>
          <w:docGrid w:type="lines" w:linePitch="312" w:charSpace="0"/>
        </w:sectPr>
      </w:pPr>
    </w:p>
    <w:p>
      <w:pPr>
        <w:jc w:val="center"/>
        <w:rPr>
          <w:rFonts w:ascii="Times New Roman" w:hAnsi="Times New Roman"/>
          <w:b/>
          <w:sz w:val="36"/>
          <w:szCs w:val="36"/>
        </w:rPr>
      </w:pPr>
      <w:r>
        <w:rPr>
          <w:rFonts w:hint="eastAsia" w:ascii="Times New Roman" w:hAnsi="Times New Roman"/>
          <w:b/>
          <w:sz w:val="36"/>
          <w:szCs w:val="36"/>
        </w:rPr>
        <w:t>供货范围清单</w:t>
      </w:r>
    </w:p>
    <w:p>
      <w:pPr>
        <w:pStyle w:val="28"/>
        <w:spacing w:line="360" w:lineRule="auto"/>
        <w:jc w:val="left"/>
        <w:outlineLvl w:val="9"/>
        <w:rPr>
          <w:rFonts w:hint="default" w:hAnsi="宋体"/>
        </w:rPr>
      </w:pPr>
    </w:p>
    <w:p>
      <w:pPr>
        <w:spacing w:line="360" w:lineRule="auto"/>
        <w:rPr>
          <w:rFonts w:ascii="宋体" w:hAnsi="宋体"/>
          <w:b/>
          <w:bCs/>
          <w:sz w:val="24"/>
        </w:rPr>
      </w:pPr>
      <w:r>
        <w:rPr>
          <w:rFonts w:hint="eastAsia" w:ascii="宋体" w:hAnsi="宋体"/>
          <w:b/>
          <w:bCs/>
          <w:sz w:val="24"/>
        </w:rPr>
        <w:t>说明：</w:t>
      </w:r>
    </w:p>
    <w:p>
      <w:pPr>
        <w:spacing w:line="360" w:lineRule="auto"/>
        <w:ind w:firstLine="480" w:firstLineChars="200"/>
        <w:rPr>
          <w:rFonts w:ascii="宋体" w:hAnsi="宋体"/>
          <w:sz w:val="24"/>
        </w:rPr>
      </w:pPr>
      <w:r>
        <w:rPr>
          <w:rFonts w:hint="eastAsia" w:ascii="宋体" w:hAnsi="宋体"/>
          <w:sz w:val="24"/>
        </w:rPr>
        <w:t>1.本清单应列明组成项目的主要设备和关键设备的名称、数量、原产地及单价；</w:t>
      </w:r>
    </w:p>
    <w:p>
      <w:pPr>
        <w:spacing w:line="360" w:lineRule="auto"/>
        <w:ind w:firstLine="480" w:firstLineChars="200"/>
        <w:rPr>
          <w:rFonts w:ascii="宋体" w:hAnsi="宋体"/>
          <w:sz w:val="24"/>
        </w:rPr>
      </w:pPr>
      <w:r>
        <w:rPr>
          <w:rFonts w:hint="eastAsia" w:ascii="宋体" w:hAnsi="宋体"/>
          <w:sz w:val="24"/>
        </w:rPr>
        <w:t>2.本清单应列明专用工具的名称、数量、原产地及单价（如果有的话）；</w:t>
      </w:r>
    </w:p>
    <w:p>
      <w:pPr>
        <w:spacing w:line="360" w:lineRule="auto"/>
        <w:ind w:firstLine="480" w:firstLineChars="200"/>
        <w:rPr>
          <w:rFonts w:ascii="宋体" w:hAnsi="宋体"/>
          <w:sz w:val="24"/>
        </w:rPr>
      </w:pPr>
      <w:r>
        <w:rPr>
          <w:rFonts w:hint="eastAsia" w:ascii="宋体" w:hAnsi="宋体"/>
          <w:sz w:val="24"/>
        </w:rPr>
        <w:t>3.本清单应列明备品备件的名称、数量、原产地及单价（如果有的话）。</w:t>
      </w:r>
    </w:p>
    <w:p>
      <w:pPr>
        <w:spacing w:line="360" w:lineRule="auto"/>
        <w:rPr>
          <w:rFonts w:ascii="宋体" w:hAnsi="宋体"/>
          <w:sz w:val="24"/>
        </w:rPr>
      </w:pPr>
    </w:p>
    <w:p>
      <w:pPr>
        <w:spacing w:line="360" w:lineRule="auto"/>
        <w:ind w:firstLine="3120" w:firstLineChars="1300"/>
        <w:rPr>
          <w:rFonts w:ascii="宋体" w:hAnsi="宋体"/>
          <w:sz w:val="24"/>
        </w:rPr>
      </w:pPr>
      <w:r>
        <w:rPr>
          <w:rFonts w:hint="eastAsia" w:ascii="宋体" w:hAnsi="宋体"/>
          <w:sz w:val="24"/>
        </w:rPr>
        <w:t>磋商响应供应商全称（加盖公章）：</w:t>
      </w:r>
      <w:r>
        <w:rPr>
          <w:rFonts w:hint="eastAsia" w:ascii="宋体" w:hAnsi="宋体"/>
          <w:sz w:val="24"/>
          <w:u w:val="single"/>
        </w:rPr>
        <w:t xml:space="preserve">                </w:t>
      </w:r>
    </w:p>
    <w:p>
      <w:pPr>
        <w:spacing w:line="360" w:lineRule="auto"/>
        <w:ind w:firstLine="3120" w:firstLineChars="1300"/>
        <w:rPr>
          <w:rFonts w:ascii="宋体" w:hAnsi="宋体"/>
          <w:sz w:val="24"/>
          <w:u w:val="single"/>
        </w:rPr>
      </w:pPr>
      <w:r>
        <w:rPr>
          <w:rFonts w:hint="eastAsia" w:ascii="宋体" w:hAnsi="宋体"/>
          <w:sz w:val="24"/>
        </w:rPr>
        <w:t>磋商响应供应商代表签字：</w:t>
      </w:r>
      <w:r>
        <w:rPr>
          <w:rFonts w:hint="eastAsia" w:ascii="宋体" w:hAnsi="宋体"/>
          <w:sz w:val="24"/>
          <w:u w:val="single"/>
        </w:rPr>
        <w:t xml:space="preserve">                        </w:t>
      </w:r>
    </w:p>
    <w:p>
      <w:pPr>
        <w:spacing w:line="360" w:lineRule="auto"/>
        <w:ind w:firstLine="3120" w:firstLineChars="130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auto"/>
        <w:ind w:firstLine="4200" w:firstLineChars="1750"/>
        <w:rPr>
          <w:rFonts w:ascii="宋体" w:hAnsi="宋体"/>
          <w:sz w:val="24"/>
          <w:u w:val="single"/>
        </w:rPr>
        <w:sectPr>
          <w:pgSz w:w="11906" w:h="16838"/>
          <w:pgMar w:top="1440" w:right="1083" w:bottom="1440" w:left="1083" w:header="850" w:footer="992" w:gutter="0"/>
          <w:cols w:space="0" w:num="1"/>
          <w:docGrid w:type="lines" w:linePitch="388" w:charSpace="0"/>
        </w:sectPr>
      </w:pPr>
    </w:p>
    <w:p>
      <w:pPr>
        <w:rPr>
          <w:rFonts w:ascii="Times New Roman" w:hAnsi="Times New Roman"/>
          <w:b/>
          <w:sz w:val="36"/>
          <w:szCs w:val="36"/>
        </w:rPr>
        <w:sectPr>
          <w:type w:val="continuous"/>
          <w:pgSz w:w="11906" w:h="16838"/>
          <w:pgMar w:top="1440" w:right="1083" w:bottom="1440" w:left="1083" w:header="850" w:footer="992" w:gutter="0"/>
          <w:cols w:space="0" w:num="1"/>
          <w:docGrid w:type="lines" w:linePitch="388" w:charSpace="0"/>
        </w:sectPr>
      </w:pPr>
    </w:p>
    <w:p>
      <w:pPr>
        <w:jc w:val="center"/>
        <w:rPr>
          <w:b/>
          <w:sz w:val="36"/>
          <w:szCs w:val="36"/>
        </w:rPr>
      </w:pPr>
      <w:r>
        <w:rPr>
          <w:rFonts w:hint="eastAsia"/>
          <w:b/>
          <w:sz w:val="36"/>
          <w:szCs w:val="36"/>
        </w:rPr>
        <w:t>重要条款（带★条款）响应表</w:t>
      </w:r>
    </w:p>
    <w:p>
      <w:pPr>
        <w:spacing w:afterLines="25"/>
        <w:rPr>
          <w:rFonts w:ascii="宋体" w:hAnsi="宋体"/>
          <w:sz w:val="24"/>
        </w:rPr>
      </w:pPr>
      <w:r>
        <w:rPr>
          <w:rFonts w:hint="eastAsia" w:ascii="宋体" w:hAnsi="宋体"/>
          <w:sz w:val="24"/>
        </w:rPr>
        <w:t>磋商响应供应商全称（加盖公章）</w:t>
      </w:r>
      <w:r>
        <w:rPr>
          <w:rFonts w:ascii="宋体" w:hAnsi="宋体" w:cs="宋体"/>
          <w:kern w:val="1"/>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r>
        <w:rPr>
          <w:rFonts w:ascii="宋体" w:hAnsi="宋体" w:cs="宋体"/>
          <w:kern w:val="1"/>
          <w:sz w:val="24"/>
        </w:rPr>
        <w:t xml:space="preserve">       </w:t>
      </w:r>
      <w:r>
        <w:rPr>
          <w:rFonts w:hint="eastAsia" w:ascii="宋体" w:hAnsi="宋体" w:cs="宋体"/>
          <w:kern w:val="1"/>
          <w:sz w:val="24"/>
        </w:rPr>
        <w:t xml:space="preserve">                     项目</w:t>
      </w:r>
      <w:r>
        <w:rPr>
          <w:rFonts w:ascii="宋体" w:hAnsi="宋体" w:cs="宋体"/>
          <w:kern w:val="1"/>
          <w:sz w:val="24"/>
        </w:rPr>
        <w:t>编号∶</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tbl>
      <w:tblPr>
        <w:tblStyle w:val="24"/>
        <w:tblW w:w="14090"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768"/>
        <w:gridCol w:w="1235"/>
        <w:gridCol w:w="3077"/>
        <w:gridCol w:w="2818"/>
        <w:gridCol w:w="2160"/>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right"/>
        </w:trPr>
        <w:tc>
          <w:tcPr>
            <w:tcW w:w="7275" w:type="dxa"/>
            <w:gridSpan w:val="4"/>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sz w:val="24"/>
              </w:rPr>
            </w:pPr>
            <w:r>
              <w:rPr>
                <w:rFonts w:hint="eastAsia" w:ascii="宋体" w:hAnsi="宋体"/>
                <w:sz w:val="24"/>
              </w:rPr>
              <w:t>磋商要求</w:t>
            </w:r>
          </w:p>
        </w:tc>
        <w:tc>
          <w:tcPr>
            <w:tcW w:w="6815" w:type="dxa"/>
            <w:gridSpan w:val="3"/>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sz w:val="24"/>
              </w:rPr>
            </w:pPr>
            <w:r>
              <w:rPr>
                <w:rFonts w:hint="eastAsia" w:ascii="宋体" w:hAnsi="宋体"/>
                <w:sz w:val="24"/>
              </w:rPr>
              <w:t>磋商响应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right"/>
        </w:trPr>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合同包号</w:t>
            </w:r>
          </w:p>
        </w:tc>
        <w:tc>
          <w:tcPr>
            <w:tcW w:w="1768"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sz w:val="24"/>
              </w:rPr>
            </w:pPr>
            <w:r>
              <w:rPr>
                <w:rFonts w:hint="eastAsia" w:ascii="宋体" w:hAnsi="宋体"/>
                <w:sz w:val="24"/>
              </w:rPr>
              <w:t>项目名称</w:t>
            </w:r>
          </w:p>
        </w:tc>
        <w:tc>
          <w:tcPr>
            <w:tcW w:w="1235" w:type="dxa"/>
            <w:tcBorders>
              <w:top w:val="single" w:color="auto" w:sz="4" w:space="0"/>
              <w:left w:val="single" w:color="auto" w:sz="4" w:space="0"/>
              <w:bottom w:val="single" w:color="auto" w:sz="4" w:space="0"/>
              <w:right w:val="single" w:color="auto" w:sz="4" w:space="0"/>
            </w:tcBorders>
            <w:vAlign w:val="center"/>
          </w:tcPr>
          <w:p>
            <w:pPr>
              <w:spacing w:beforeLines="25" w:afterLines="25"/>
              <w:ind w:left="-31" w:leftChars="-31" w:right="-106" w:rightChars="-38" w:hanging="56" w:hangingChars="27"/>
              <w:jc w:val="center"/>
              <w:rPr>
                <w:rFonts w:ascii="宋体" w:hAnsi="宋体"/>
                <w:spacing w:val="-16"/>
                <w:sz w:val="24"/>
              </w:rPr>
            </w:pPr>
            <w:r>
              <w:rPr>
                <w:rFonts w:hint="eastAsia" w:ascii="宋体" w:hAnsi="宋体"/>
                <w:spacing w:val="-16"/>
                <w:sz w:val="24"/>
              </w:rPr>
              <w:t>条目号</w:t>
            </w:r>
          </w:p>
        </w:tc>
        <w:tc>
          <w:tcPr>
            <w:tcW w:w="3077" w:type="dxa"/>
            <w:tcBorders>
              <w:top w:val="single" w:color="auto" w:sz="4" w:space="0"/>
              <w:left w:val="single" w:color="auto" w:sz="4" w:space="0"/>
              <w:bottom w:val="single" w:color="auto" w:sz="4" w:space="0"/>
              <w:right w:val="single" w:color="auto" w:sz="4" w:space="0"/>
            </w:tcBorders>
            <w:vAlign w:val="center"/>
          </w:tcPr>
          <w:p>
            <w:pPr>
              <w:spacing w:beforeLines="25" w:afterLines="25"/>
              <w:ind w:left="-24" w:leftChars="-31" w:right="-104" w:rightChars="-37" w:hanging="63" w:hangingChars="28"/>
              <w:jc w:val="center"/>
              <w:rPr>
                <w:rFonts w:ascii="宋体" w:hAnsi="宋体"/>
                <w:sz w:val="24"/>
              </w:rPr>
            </w:pPr>
            <w:r>
              <w:rPr>
                <w:rFonts w:hint="eastAsia" w:ascii="宋体" w:hAnsi="宋体"/>
                <w:spacing w:val="-6"/>
                <w:sz w:val="24"/>
              </w:rPr>
              <w:t>重要条款（带★条款）</w:t>
            </w:r>
          </w:p>
        </w:tc>
        <w:tc>
          <w:tcPr>
            <w:tcW w:w="2818"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sz w:val="24"/>
              </w:rPr>
            </w:pPr>
            <w:r>
              <w:rPr>
                <w:rFonts w:hint="eastAsia" w:ascii="宋体" w:hAnsi="宋体"/>
                <w:sz w:val="24"/>
              </w:rPr>
              <w:t>磋商响应情况</w:t>
            </w:r>
          </w:p>
        </w:tc>
        <w:tc>
          <w:tcPr>
            <w:tcW w:w="2160" w:type="dxa"/>
            <w:tcBorders>
              <w:top w:val="single" w:color="auto" w:sz="4" w:space="0"/>
              <w:left w:val="single" w:color="auto" w:sz="4" w:space="0"/>
              <w:bottom w:val="single" w:color="auto" w:sz="4" w:space="0"/>
              <w:right w:val="single" w:color="auto" w:sz="4" w:space="0"/>
            </w:tcBorders>
            <w:vAlign w:val="center"/>
          </w:tcPr>
          <w:p>
            <w:pPr>
              <w:ind w:left="-123" w:leftChars="-44" w:right="-106" w:rightChars="-38" w:firstLine="24" w:firstLineChars="12"/>
              <w:jc w:val="center"/>
              <w:rPr>
                <w:rFonts w:ascii="宋体" w:hAnsi="宋体"/>
                <w:spacing w:val="-16"/>
                <w:sz w:val="24"/>
              </w:rPr>
            </w:pPr>
            <w:r>
              <w:rPr>
                <w:rFonts w:hint="eastAsia" w:ascii="宋体" w:hAnsi="宋体"/>
                <w:spacing w:val="-16"/>
                <w:sz w:val="24"/>
              </w:rPr>
              <w:t>客观证据材料在磋商响应文件中对应的页码</w:t>
            </w:r>
          </w:p>
        </w:tc>
        <w:tc>
          <w:tcPr>
            <w:tcW w:w="1837"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right"/>
        </w:trPr>
        <w:tc>
          <w:tcPr>
            <w:tcW w:w="1195" w:type="dxa"/>
            <w:tcBorders>
              <w:top w:val="single" w:color="auto" w:sz="4" w:space="0"/>
              <w:left w:val="single" w:color="auto" w:sz="4" w:space="0"/>
              <w:right w:val="single" w:color="auto" w:sz="4" w:space="0"/>
            </w:tcBorders>
            <w:vAlign w:val="center"/>
          </w:tcPr>
          <w:p>
            <w:pPr>
              <w:spacing w:beforeLines="25" w:afterLines="25"/>
              <w:rPr>
                <w:rFonts w:ascii="宋体" w:hAnsi="宋体"/>
                <w:sz w:val="24"/>
              </w:rPr>
            </w:pPr>
          </w:p>
        </w:tc>
        <w:tc>
          <w:tcPr>
            <w:tcW w:w="1768"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1235"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3077"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2818"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1837" w:type="dxa"/>
            <w:tcBorders>
              <w:top w:val="single" w:color="auto" w:sz="4" w:space="0"/>
              <w:left w:val="single" w:color="auto" w:sz="4" w:space="0"/>
              <w:bottom w:val="single" w:color="auto" w:sz="4" w:space="0"/>
              <w:right w:val="single" w:color="auto" w:sz="4" w:space="0"/>
            </w:tcBorders>
          </w:tcPr>
          <w:p>
            <w:pPr>
              <w:spacing w:beforeLines="25" w:afterLines="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right"/>
        </w:trPr>
        <w:tc>
          <w:tcPr>
            <w:tcW w:w="1195" w:type="dxa"/>
            <w:tcBorders>
              <w:left w:val="single" w:color="auto" w:sz="4" w:space="0"/>
              <w:right w:val="single" w:color="auto" w:sz="4" w:space="0"/>
            </w:tcBorders>
            <w:vAlign w:val="center"/>
          </w:tcPr>
          <w:p>
            <w:pPr>
              <w:spacing w:beforeLines="25" w:afterLines="25"/>
              <w:rPr>
                <w:rFonts w:ascii="宋体" w:hAnsi="宋体"/>
                <w:sz w:val="24"/>
              </w:rPr>
            </w:pPr>
          </w:p>
        </w:tc>
        <w:tc>
          <w:tcPr>
            <w:tcW w:w="1768"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1235"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3077"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2818"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1837" w:type="dxa"/>
            <w:tcBorders>
              <w:top w:val="single" w:color="auto" w:sz="4" w:space="0"/>
              <w:left w:val="single" w:color="auto" w:sz="4" w:space="0"/>
              <w:bottom w:val="single" w:color="auto" w:sz="4" w:space="0"/>
              <w:right w:val="single" w:color="auto" w:sz="4" w:space="0"/>
            </w:tcBorders>
          </w:tcPr>
          <w:p>
            <w:pPr>
              <w:spacing w:beforeLines="25" w:afterLines="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right"/>
        </w:trPr>
        <w:tc>
          <w:tcPr>
            <w:tcW w:w="1195" w:type="dxa"/>
            <w:tcBorders>
              <w:left w:val="single" w:color="auto" w:sz="4" w:space="0"/>
              <w:right w:val="single" w:color="auto" w:sz="4" w:space="0"/>
            </w:tcBorders>
            <w:vAlign w:val="center"/>
          </w:tcPr>
          <w:p>
            <w:pPr>
              <w:spacing w:beforeLines="25" w:afterLines="25"/>
              <w:rPr>
                <w:rFonts w:ascii="宋体" w:hAnsi="宋体"/>
                <w:sz w:val="24"/>
              </w:rPr>
            </w:pPr>
          </w:p>
        </w:tc>
        <w:tc>
          <w:tcPr>
            <w:tcW w:w="1768"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1235"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3077"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2818"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1837" w:type="dxa"/>
            <w:tcBorders>
              <w:top w:val="single" w:color="auto" w:sz="4" w:space="0"/>
              <w:left w:val="single" w:color="auto" w:sz="4" w:space="0"/>
              <w:bottom w:val="single" w:color="auto" w:sz="4" w:space="0"/>
              <w:right w:val="single" w:color="auto" w:sz="4" w:space="0"/>
            </w:tcBorders>
          </w:tcPr>
          <w:p>
            <w:pPr>
              <w:spacing w:beforeLines="25" w:afterLines="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right"/>
        </w:trPr>
        <w:tc>
          <w:tcPr>
            <w:tcW w:w="1195" w:type="dxa"/>
            <w:tcBorders>
              <w:left w:val="single" w:color="auto" w:sz="4" w:space="0"/>
              <w:right w:val="single" w:color="auto" w:sz="4" w:space="0"/>
            </w:tcBorders>
            <w:vAlign w:val="center"/>
          </w:tcPr>
          <w:p>
            <w:pPr>
              <w:spacing w:beforeLines="25" w:afterLines="25"/>
              <w:rPr>
                <w:rFonts w:ascii="宋体" w:hAnsi="宋体"/>
                <w:sz w:val="24"/>
              </w:rPr>
            </w:pPr>
          </w:p>
        </w:tc>
        <w:tc>
          <w:tcPr>
            <w:tcW w:w="1768"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1235"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3077"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2818"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1837" w:type="dxa"/>
            <w:tcBorders>
              <w:top w:val="single" w:color="auto" w:sz="4" w:space="0"/>
              <w:left w:val="single" w:color="auto" w:sz="4" w:space="0"/>
              <w:bottom w:val="single" w:color="auto" w:sz="4" w:space="0"/>
              <w:right w:val="single" w:color="auto" w:sz="4" w:space="0"/>
            </w:tcBorders>
          </w:tcPr>
          <w:p>
            <w:pPr>
              <w:spacing w:beforeLines="25" w:afterLines="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right"/>
        </w:trPr>
        <w:tc>
          <w:tcPr>
            <w:tcW w:w="1195" w:type="dxa"/>
            <w:tcBorders>
              <w:left w:val="single" w:color="auto" w:sz="4" w:space="0"/>
              <w:bottom w:val="single" w:color="auto" w:sz="4" w:space="0"/>
              <w:right w:val="single" w:color="auto" w:sz="4" w:space="0"/>
            </w:tcBorders>
            <w:vAlign w:val="center"/>
          </w:tcPr>
          <w:p>
            <w:pPr>
              <w:spacing w:beforeLines="25" w:afterLines="25"/>
              <w:rPr>
                <w:rFonts w:ascii="宋体" w:hAnsi="宋体"/>
                <w:sz w:val="24"/>
              </w:rPr>
            </w:pPr>
          </w:p>
        </w:tc>
        <w:tc>
          <w:tcPr>
            <w:tcW w:w="1768"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1235"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3077"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2818"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2160" w:type="dxa"/>
            <w:tcBorders>
              <w:top w:val="single" w:color="auto" w:sz="4" w:space="0"/>
              <w:left w:val="single" w:color="auto" w:sz="4" w:space="0"/>
              <w:bottom w:val="single" w:color="auto" w:sz="4" w:space="0"/>
              <w:right w:val="single" w:color="auto" w:sz="4" w:space="0"/>
            </w:tcBorders>
          </w:tcPr>
          <w:p>
            <w:pPr>
              <w:spacing w:beforeLines="25" w:afterLines="25"/>
              <w:rPr>
                <w:rFonts w:ascii="宋体" w:hAnsi="宋体"/>
                <w:sz w:val="24"/>
              </w:rPr>
            </w:pPr>
          </w:p>
        </w:tc>
        <w:tc>
          <w:tcPr>
            <w:tcW w:w="1837" w:type="dxa"/>
            <w:tcBorders>
              <w:top w:val="single" w:color="auto" w:sz="4" w:space="0"/>
              <w:left w:val="single" w:color="auto" w:sz="4" w:space="0"/>
              <w:bottom w:val="single" w:color="auto" w:sz="4" w:space="0"/>
              <w:right w:val="single" w:color="auto" w:sz="4" w:space="0"/>
            </w:tcBorders>
          </w:tcPr>
          <w:p>
            <w:pPr>
              <w:spacing w:beforeLines="25" w:afterLines="25"/>
              <w:jc w:val="center"/>
              <w:rPr>
                <w:rFonts w:ascii="宋体" w:hAnsi="宋体"/>
                <w:sz w:val="24"/>
              </w:rPr>
            </w:pPr>
          </w:p>
        </w:tc>
      </w:tr>
    </w:tbl>
    <w:p>
      <w:pPr>
        <w:spacing w:line="380" w:lineRule="exact"/>
        <w:rPr>
          <w:rFonts w:ascii="宋体" w:hAnsi="宋体" w:cs="宋体"/>
          <w:sz w:val="24"/>
        </w:rPr>
      </w:pPr>
    </w:p>
    <w:p>
      <w:pPr>
        <w:spacing w:line="380" w:lineRule="exact"/>
        <w:rPr>
          <w:rFonts w:ascii="宋体" w:hAnsi="宋体" w:cs="宋体"/>
          <w:sz w:val="24"/>
        </w:rPr>
      </w:pPr>
      <w:r>
        <w:rPr>
          <w:rFonts w:hint="eastAsia" w:ascii="宋体" w:hAnsi="宋体" w:cs="宋体"/>
          <w:sz w:val="24"/>
        </w:rPr>
        <w:t>磋商响应供应商代表签字：</w:t>
      </w:r>
      <w:r>
        <w:rPr>
          <w:rFonts w:hint="eastAsia" w:ascii="宋体" w:hAnsi="宋体" w:cs="宋体"/>
          <w:sz w:val="24"/>
          <w:u w:val="single"/>
        </w:rPr>
        <w:t xml:space="preserve">                     </w:t>
      </w:r>
      <w:r>
        <w:rPr>
          <w:rFonts w:hint="eastAsia" w:ascii="宋体" w:hAnsi="宋体" w:cs="宋体"/>
          <w:sz w:val="24"/>
        </w:rPr>
        <w:t> </w:t>
      </w:r>
    </w:p>
    <w:p>
      <w:pPr>
        <w:pStyle w:val="19"/>
        <w:rPr>
          <w:rFonts w:ascii="宋体" w:hAnsi="宋体" w:cs="宋体"/>
          <w:kern w:val="2"/>
        </w:rPr>
      </w:pPr>
      <w:r>
        <w:rPr>
          <w:rFonts w:hint="eastAsia" w:ascii="宋体" w:hAnsi="宋体" w:cs="宋体"/>
          <w:kern w:val="2"/>
        </w:rPr>
        <w:t>日期：</w:t>
      </w:r>
      <w:r>
        <w:rPr>
          <w:rFonts w:hint="eastAsia" w:ascii="宋体" w:hAnsi="宋体" w:cs="宋体"/>
          <w:kern w:val="2"/>
          <w:u w:val="single"/>
        </w:rPr>
        <w:t>    </w:t>
      </w:r>
      <w:r>
        <w:rPr>
          <w:rFonts w:hint="eastAsia" w:ascii="宋体" w:hAnsi="宋体" w:cs="宋体"/>
          <w:kern w:val="2"/>
        </w:rPr>
        <w:t>年</w:t>
      </w:r>
      <w:r>
        <w:rPr>
          <w:rFonts w:hint="eastAsia" w:ascii="宋体" w:hAnsi="宋体" w:cs="宋体"/>
          <w:kern w:val="2"/>
          <w:u w:val="single"/>
        </w:rPr>
        <w:t>  </w:t>
      </w:r>
      <w:r>
        <w:rPr>
          <w:rFonts w:hint="eastAsia" w:ascii="宋体" w:hAnsi="宋体" w:cs="宋体"/>
          <w:kern w:val="2"/>
        </w:rPr>
        <w:t>月</w:t>
      </w:r>
      <w:r>
        <w:rPr>
          <w:rFonts w:hint="eastAsia" w:ascii="宋体" w:hAnsi="宋体" w:cs="宋体"/>
          <w:kern w:val="2"/>
          <w:u w:val="single"/>
        </w:rPr>
        <w:t>  </w:t>
      </w:r>
      <w:r>
        <w:rPr>
          <w:rFonts w:hint="eastAsia" w:ascii="宋体" w:hAnsi="宋体" w:cs="宋体"/>
          <w:kern w:val="2"/>
        </w:rPr>
        <w:t>日</w:t>
      </w:r>
    </w:p>
    <w:p>
      <w:pPr>
        <w:spacing w:line="380" w:lineRule="exact"/>
        <w:rPr>
          <w:rFonts w:ascii="宋体" w:hAnsi="宋体"/>
          <w:b/>
          <w:w w:val="80"/>
          <w:sz w:val="24"/>
        </w:rPr>
      </w:pPr>
    </w:p>
    <w:p>
      <w:pPr>
        <w:rPr>
          <w:rFonts w:ascii="宋体" w:hAnsi="宋体"/>
          <w:b/>
          <w:w w:val="80"/>
          <w:sz w:val="24"/>
        </w:rPr>
      </w:pPr>
      <w:r>
        <w:rPr>
          <w:rFonts w:hint="eastAsia" w:ascii="宋体" w:hAnsi="宋体"/>
          <w:b/>
          <w:w w:val="80"/>
          <w:sz w:val="24"/>
        </w:rPr>
        <w:br w:type="page"/>
      </w:r>
    </w:p>
    <w:p>
      <w:pPr>
        <w:spacing w:beforeLines="100" w:line="160" w:lineRule="exact"/>
        <w:rPr>
          <w:rFonts w:ascii="宋体" w:hAnsi="宋体"/>
          <w:b/>
          <w:bCs/>
          <w:sz w:val="24"/>
        </w:rPr>
      </w:pPr>
    </w:p>
    <w:p>
      <w:pPr>
        <w:spacing w:beforeLines="100" w:line="160" w:lineRule="exact"/>
        <w:rPr>
          <w:rFonts w:ascii="宋体" w:hAnsi="宋体"/>
          <w:b/>
          <w:bCs/>
          <w:sz w:val="24"/>
        </w:rPr>
      </w:pPr>
      <w:r>
        <w:rPr>
          <w:rFonts w:hint="eastAsia" w:ascii="宋体" w:hAnsi="宋体"/>
          <w:b/>
          <w:bCs/>
          <w:sz w:val="24"/>
        </w:rPr>
        <w:t>说明：</w:t>
      </w:r>
    </w:p>
    <w:p>
      <w:pPr>
        <w:spacing w:line="360" w:lineRule="auto"/>
        <w:ind w:firstLine="480" w:firstLineChars="200"/>
        <w:rPr>
          <w:rFonts w:ascii="宋体" w:hAnsi="宋体"/>
          <w:sz w:val="24"/>
        </w:rPr>
      </w:pPr>
      <w:r>
        <w:rPr>
          <w:rFonts w:hint="eastAsia" w:ascii="宋体" w:hAnsi="宋体"/>
          <w:sz w:val="24"/>
        </w:rPr>
        <w:t>1.对于采购文件中的重要技术条款（带★的技术条款），磋商响应供应商应在响应文件中提供其报价货物或服务满足采购文件重要技术条款要求的客观证据材料（采购文件明确要求书面承诺的，则按要求提供书面承诺）。未按要求提供证据材料或未按采购文件要求提供书面承诺的，磋商小组会将认定不满足该项要求。</w:t>
      </w:r>
    </w:p>
    <w:p>
      <w:pPr>
        <w:spacing w:line="360" w:lineRule="auto"/>
        <w:ind w:firstLine="480" w:firstLineChars="200"/>
        <w:rPr>
          <w:rFonts w:ascii="宋体" w:hAnsi="宋体"/>
          <w:sz w:val="24"/>
        </w:rPr>
      </w:pPr>
      <w:r>
        <w:rPr>
          <w:rFonts w:hint="eastAsia" w:ascii="宋体" w:hAnsi="宋体"/>
          <w:sz w:val="24"/>
        </w:rPr>
        <w:t>2.上述客观证据材料包括：国家认可的检验检测认证机构出具的认证证书、检测报告；报价货物制造商公开发布的印刷技术资料（彩页或技术白皮书）或者报价货物制造商官网发布的技术资料（并提供网址）；或者磋商小组会认可的其他客观证据材料。认证证书、检测报告与印刷技术资料、官网技术资料、其他客观证据材料不一致时，以认证证书、检测报告为准。对于非标准和非通用的设备，磋商响应供应商也可提供此前完成的类似项目的合同技术规格及最终的性能检验报告（应有用户代表签名）作为客观证据材料。</w:t>
      </w:r>
    </w:p>
    <w:p>
      <w:pPr>
        <w:spacing w:line="360" w:lineRule="auto"/>
        <w:ind w:firstLine="4200" w:firstLineChars="1750"/>
        <w:rPr>
          <w:rFonts w:ascii="宋体" w:hAnsi="宋体"/>
          <w:sz w:val="24"/>
          <w:u w:val="single"/>
        </w:rPr>
      </w:pPr>
    </w:p>
    <w:p>
      <w:pPr>
        <w:rPr>
          <w:rFonts w:ascii="宋体" w:hAnsi="宋体"/>
          <w:sz w:val="24"/>
          <w:u w:val="single"/>
        </w:rPr>
      </w:pPr>
      <w:r>
        <w:rPr>
          <w:rFonts w:ascii="宋体" w:hAnsi="宋体"/>
          <w:sz w:val="24"/>
          <w:u w:val="single"/>
        </w:rPr>
        <w:br w:type="page"/>
      </w:r>
    </w:p>
    <w:p>
      <w:pPr>
        <w:jc w:val="center"/>
        <w:rPr>
          <w:rFonts w:ascii="Times New Roman" w:hAnsi="Times New Roman"/>
          <w:b/>
          <w:sz w:val="36"/>
          <w:szCs w:val="36"/>
        </w:rPr>
      </w:pPr>
      <w:r>
        <w:rPr>
          <w:rFonts w:hint="eastAsia" w:ascii="Times New Roman" w:hAnsi="Times New Roman"/>
          <w:b/>
          <w:sz w:val="36"/>
          <w:szCs w:val="36"/>
        </w:rPr>
        <w:t>技术规格和商务偏离表</w:t>
      </w:r>
    </w:p>
    <w:p>
      <w:pPr>
        <w:spacing w:line="360" w:lineRule="auto"/>
        <w:rPr>
          <w:rFonts w:ascii="Times New Roman" w:hAnsi="Times New Roman"/>
          <w:b/>
          <w:sz w:val="36"/>
          <w:szCs w:val="36"/>
        </w:rPr>
      </w:pPr>
      <w:r>
        <w:rPr>
          <w:rFonts w:hint="eastAsia" w:ascii="宋体" w:hAnsi="宋体"/>
          <w:sz w:val="24"/>
        </w:rPr>
        <w:t>磋商响应供应商全称（加盖公章）</w:t>
      </w:r>
      <w:r>
        <w:rPr>
          <w:rFonts w:hint="eastAsia" w:ascii="宋体" w:hAnsi="宋体"/>
          <w:bCs/>
          <w:sz w:val="24"/>
        </w:rPr>
        <w:t>：</w:t>
      </w:r>
      <w:r>
        <w:rPr>
          <w:rFonts w:hint="eastAsia" w:ascii="宋体" w:hAnsi="宋体"/>
          <w:bCs/>
          <w:sz w:val="24"/>
          <w:u w:val="single"/>
        </w:rPr>
        <w:t xml:space="preserve">                     </w:t>
      </w:r>
      <w:r>
        <w:rPr>
          <w:rFonts w:hint="eastAsia" w:ascii="宋体" w:hAnsi="宋体"/>
          <w:bCs/>
          <w:sz w:val="24"/>
        </w:rPr>
        <w:t xml:space="preserve">                     项目编号：</w:t>
      </w:r>
      <w:r>
        <w:rPr>
          <w:rFonts w:hint="eastAsia" w:ascii="宋体" w:hAnsi="宋体"/>
          <w:bCs/>
          <w:sz w:val="24"/>
          <w:u w:val="single"/>
        </w:rPr>
        <w:t xml:space="preserve">                          </w:t>
      </w:r>
    </w:p>
    <w:tbl>
      <w:tblPr>
        <w:tblStyle w:val="24"/>
        <w:tblW w:w="14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350"/>
        <w:gridCol w:w="1875"/>
        <w:gridCol w:w="2363"/>
        <w:gridCol w:w="2058"/>
        <w:gridCol w:w="2655"/>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699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磋商文件要求</w:t>
            </w:r>
          </w:p>
        </w:tc>
        <w:tc>
          <w:tcPr>
            <w:tcW w:w="712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磋商响应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4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合同包号</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服务名称</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规格条目号</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磋商文件要求</w:t>
            </w:r>
          </w:p>
        </w:tc>
        <w:tc>
          <w:tcPr>
            <w:tcW w:w="20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磋商响应情况</w:t>
            </w:r>
          </w:p>
        </w:tc>
        <w:tc>
          <w:tcPr>
            <w:tcW w:w="26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客观证据材料在磋商响应文件中对应的页码</w:t>
            </w:r>
          </w:p>
        </w:tc>
        <w:tc>
          <w:tcPr>
            <w:tcW w:w="2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4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7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3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0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65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4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4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7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3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0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65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4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4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7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3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0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65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41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bl>
    <w:p>
      <w:pPr>
        <w:spacing w:line="360" w:lineRule="auto"/>
        <w:rPr>
          <w:rFonts w:ascii="宋体" w:hAnsi="宋体"/>
          <w:bCs/>
          <w:sz w:val="24"/>
        </w:rPr>
      </w:pPr>
      <w:r>
        <w:rPr>
          <w:rFonts w:hint="eastAsia" w:ascii="宋体" w:hAnsi="宋体"/>
          <w:b/>
          <w:sz w:val="24"/>
        </w:rPr>
        <w:t>说明：</w:t>
      </w:r>
      <w:r>
        <w:rPr>
          <w:rFonts w:hint="eastAsia" w:ascii="宋体" w:hAnsi="宋体"/>
          <w:bCs/>
          <w:sz w:val="24"/>
        </w:rPr>
        <w:t>1.采购单位应将本服务项目采购所需的技术、质量、商务、服务、价格要求逐条列明。磋商响应供应商根据采购要求逐条说明磋商响应情况。</w:t>
      </w:r>
    </w:p>
    <w:p>
      <w:pPr>
        <w:spacing w:line="360" w:lineRule="auto"/>
        <w:ind w:firstLine="480" w:firstLineChars="200"/>
        <w:rPr>
          <w:rFonts w:ascii="宋体" w:hAnsi="宋体"/>
          <w:bCs/>
          <w:sz w:val="24"/>
        </w:rPr>
      </w:pPr>
      <w:r>
        <w:rPr>
          <w:rFonts w:hint="eastAsia" w:ascii="宋体" w:hAnsi="宋体"/>
          <w:bCs/>
          <w:sz w:val="24"/>
        </w:rPr>
        <w:t>2.磋商响应供应商提交的响应文件中与磋商文件的技术、商务部分要求有不同时，应逐条列在偏离表中，否则将认为磋商响应供应商接受磋商文件的要求。磋商响应供应商存在弄虚作假行为的，将依法承担响应的法律责任。</w:t>
      </w:r>
    </w:p>
    <w:p>
      <w:pPr>
        <w:spacing w:line="360" w:lineRule="auto"/>
        <w:rPr>
          <w:rFonts w:ascii="宋体" w:hAnsi="宋体"/>
          <w:bCs/>
          <w:sz w:val="24"/>
          <w:u w:val="single"/>
        </w:rPr>
      </w:pPr>
      <w:r>
        <w:rPr>
          <w:rFonts w:hint="eastAsia" w:ascii="宋体" w:hAnsi="宋体"/>
          <w:bCs/>
          <w:sz w:val="24"/>
        </w:rPr>
        <w:t>磋商响应供应商代表签字：</w:t>
      </w:r>
      <w:r>
        <w:rPr>
          <w:rFonts w:hint="eastAsia" w:ascii="宋体" w:hAnsi="宋体"/>
          <w:bCs/>
          <w:sz w:val="24"/>
          <w:u w:val="single"/>
        </w:rPr>
        <w:t xml:space="preserve">             </w:t>
      </w:r>
    </w:p>
    <w:p>
      <w:pPr>
        <w:spacing w:line="360" w:lineRule="auto"/>
        <w:rPr>
          <w:rFonts w:ascii="宋体" w:hAnsi="宋体"/>
          <w:sz w:val="24"/>
          <w:u w:val="single"/>
        </w:rPr>
        <w:sectPr>
          <w:pgSz w:w="16838" w:h="11906" w:orient="landscape"/>
          <w:pgMar w:top="1083" w:right="1440" w:bottom="1083" w:left="1440" w:header="850" w:footer="992" w:gutter="0"/>
          <w:cols w:space="0" w:num="1"/>
          <w:docGrid w:type="lines" w:linePitch="388" w:charSpace="0"/>
        </w:sectPr>
      </w:pPr>
      <w:r>
        <w:rPr>
          <w:rFonts w:hint="eastAsia" w:ascii="宋体" w:hAnsi="宋体" w:cs="宋体"/>
          <w:sz w:val="24"/>
        </w:rPr>
        <w:t>日期：</w:t>
      </w:r>
      <w:r>
        <w:rPr>
          <w:rFonts w:hint="eastAsia" w:ascii="宋体" w:hAnsi="宋体" w:cs="宋体"/>
          <w:sz w:val="24"/>
          <w:u w:val="single"/>
        </w:rPr>
        <w:t>    </w:t>
      </w:r>
      <w:r>
        <w:rPr>
          <w:rFonts w:hint="eastAsia" w:ascii="宋体" w:hAnsi="宋体" w:cs="宋体"/>
          <w:sz w:val="24"/>
        </w:rPr>
        <w:t>年</w:t>
      </w:r>
      <w:r>
        <w:rPr>
          <w:rFonts w:hint="eastAsia" w:ascii="宋体" w:hAnsi="宋体" w:cs="宋体"/>
          <w:sz w:val="24"/>
          <w:u w:val="single"/>
        </w:rPr>
        <w:t>  </w:t>
      </w:r>
      <w:r>
        <w:rPr>
          <w:rFonts w:hint="eastAsia" w:ascii="宋体" w:hAnsi="宋体" w:cs="宋体"/>
          <w:sz w:val="24"/>
        </w:rPr>
        <w:t>月</w:t>
      </w:r>
      <w:r>
        <w:rPr>
          <w:rFonts w:hint="eastAsia" w:ascii="宋体" w:hAnsi="宋体" w:cs="宋体"/>
          <w:sz w:val="24"/>
          <w:u w:val="single"/>
        </w:rPr>
        <w:t>  </w:t>
      </w:r>
    </w:p>
    <w:p>
      <w:pPr>
        <w:jc w:val="center"/>
        <w:rPr>
          <w:b/>
          <w:sz w:val="36"/>
          <w:szCs w:val="36"/>
        </w:rPr>
      </w:pPr>
      <w:r>
        <w:rPr>
          <w:rFonts w:hint="eastAsia"/>
          <w:b/>
          <w:sz w:val="36"/>
          <w:szCs w:val="36"/>
        </w:rPr>
        <w:t>磋商响应供应商的资格证明文件</w:t>
      </w:r>
    </w:p>
    <w:p>
      <w:pPr>
        <w:jc w:val="center"/>
        <w:rPr>
          <w:rFonts w:ascii="宋体" w:hAnsi="宋体"/>
          <w:sz w:val="24"/>
        </w:rPr>
      </w:pPr>
      <w:r>
        <w:rPr>
          <w:rFonts w:hint="eastAsia"/>
          <w:b/>
          <w:sz w:val="36"/>
          <w:szCs w:val="36"/>
        </w:rPr>
        <w:t>关于资格的声明函</w:t>
      </w:r>
      <w:r>
        <w:rPr>
          <w:rFonts w:hint="eastAsia"/>
          <w:b/>
          <w:sz w:val="36"/>
          <w:szCs w:val="36"/>
        </w:rPr>
        <w:cr/>
      </w:r>
    </w:p>
    <w:p>
      <w:pPr>
        <w:spacing w:line="360" w:lineRule="auto"/>
        <w:rPr>
          <w:rFonts w:ascii="宋体" w:hAnsi="宋体"/>
          <w:sz w:val="24"/>
        </w:rPr>
      </w:pPr>
      <w:r>
        <w:rPr>
          <w:rFonts w:hint="eastAsia" w:ascii="宋体" w:hAnsi="宋体"/>
          <w:sz w:val="21"/>
          <w:szCs w:val="21"/>
        </w:rPr>
        <w:t>福</w:t>
      </w:r>
      <w:r>
        <w:rPr>
          <w:rFonts w:hint="eastAsia" w:ascii="宋体" w:hAnsi="宋体"/>
          <w:sz w:val="24"/>
        </w:rPr>
        <w:t>建精磊信工程管理有限公司：</w:t>
      </w:r>
    </w:p>
    <w:p>
      <w:pPr>
        <w:spacing w:line="360" w:lineRule="auto"/>
        <w:ind w:firstLine="480" w:firstLineChars="200"/>
        <w:rPr>
          <w:rFonts w:ascii="宋体" w:hAnsi="宋体"/>
          <w:sz w:val="24"/>
        </w:rPr>
      </w:pPr>
      <w:r>
        <w:rPr>
          <w:rFonts w:hint="eastAsia" w:ascii="宋体" w:hAnsi="宋体"/>
          <w:sz w:val="24"/>
        </w:rPr>
        <w:t>关于贵方</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日第</w:t>
      </w:r>
      <w:r>
        <w:rPr>
          <w:rFonts w:hint="eastAsia" w:ascii="宋体" w:hAnsi="宋体"/>
          <w:sz w:val="24"/>
          <w:u w:val="single"/>
        </w:rPr>
        <w:t xml:space="preserve">     </w:t>
      </w:r>
      <w:r>
        <w:rPr>
          <w:rFonts w:hint="eastAsia" w:ascii="宋体" w:hAnsi="宋体"/>
          <w:sz w:val="24"/>
        </w:rPr>
        <w:t xml:space="preserve"> （项目编号）磋商邀请，本签字人愿意参加磋商，提供磋商文件中规定的</w:t>
      </w:r>
      <w:r>
        <w:rPr>
          <w:rFonts w:hint="eastAsia" w:ascii="宋体" w:hAnsi="宋体"/>
          <w:sz w:val="24"/>
          <w:u w:val="single"/>
        </w:rPr>
        <w:t xml:space="preserve">          </w:t>
      </w:r>
      <w:r>
        <w:rPr>
          <w:rFonts w:hint="eastAsia" w:ascii="宋体" w:hAnsi="宋体"/>
          <w:sz w:val="24"/>
        </w:rPr>
        <w:t>（合同包/品目号）</w:t>
      </w:r>
      <w:r>
        <w:rPr>
          <w:rFonts w:hint="eastAsia" w:ascii="宋体" w:hAnsi="宋体"/>
          <w:sz w:val="24"/>
          <w:u w:val="single"/>
        </w:rPr>
        <w:t xml:space="preserve">         </w:t>
      </w:r>
      <w:r>
        <w:rPr>
          <w:rFonts w:hint="eastAsia" w:ascii="宋体" w:hAnsi="宋体"/>
          <w:sz w:val="24"/>
        </w:rPr>
        <w:t>（货物名称），并证明提交的下列文件和说明是准确的和真实的。</w:t>
      </w:r>
      <w:r>
        <w:rPr>
          <w:rFonts w:hint="eastAsia" w:ascii="宋体" w:hAnsi="宋体"/>
          <w:sz w:val="24"/>
        </w:rPr>
        <w:cr/>
      </w:r>
    </w:p>
    <w:p>
      <w:pPr>
        <w:spacing w:line="360" w:lineRule="auto"/>
        <w:ind w:firstLine="480" w:firstLineChars="200"/>
        <w:rPr>
          <w:rFonts w:ascii="宋体" w:hAnsi="宋体"/>
          <w:sz w:val="24"/>
        </w:rPr>
      </w:pPr>
      <w:r>
        <w:rPr>
          <w:rFonts w:hint="eastAsia" w:ascii="宋体" w:hAnsi="宋体"/>
          <w:sz w:val="24"/>
        </w:rPr>
        <w:t>1．本签字人确认资格文件中的说明以及磋商响应文件中所有提交的文件和材料是真实的、准确的。</w:t>
      </w:r>
    </w:p>
    <w:p>
      <w:pPr>
        <w:spacing w:line="360" w:lineRule="auto"/>
        <w:ind w:firstLine="480" w:firstLineChars="200"/>
        <w:rPr>
          <w:rFonts w:ascii="宋体" w:hAnsi="宋体"/>
          <w:sz w:val="24"/>
        </w:rPr>
      </w:pPr>
      <w:r>
        <w:rPr>
          <w:rFonts w:hint="eastAsia" w:ascii="宋体" w:hAnsi="宋体"/>
          <w:sz w:val="24"/>
        </w:rPr>
        <w:t>2．我方的资格声明正本一份，副本二份，随磋商响应文件一同递交。</w:t>
      </w:r>
    </w:p>
    <w:p>
      <w:pPr>
        <w:spacing w:line="360" w:lineRule="auto"/>
        <w:ind w:firstLine="480" w:firstLineChars="200"/>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磋商响应供应商全称（加盖公章）：</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地     址：</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邮     编：</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电 话/传 真：</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磋商响应供应商代表签字： </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p>
    <w:p>
      <w:pPr>
        <w:jc w:val="center"/>
        <w:rPr>
          <w:rFonts w:ascii="宋体" w:hAnsi="宋体"/>
          <w:sz w:val="24"/>
        </w:rPr>
      </w:pPr>
      <w:r>
        <w:rPr>
          <w:rFonts w:ascii="宋体" w:hAnsi="宋体"/>
          <w:sz w:val="24"/>
        </w:rPr>
        <w:br w:type="page"/>
      </w:r>
      <w:r>
        <w:rPr>
          <w:rFonts w:hint="eastAsia"/>
          <w:b/>
          <w:sz w:val="36"/>
          <w:szCs w:val="36"/>
        </w:rPr>
        <w:t>磋商响应供应商的资格声明</w:t>
      </w:r>
      <w:r>
        <w:rPr>
          <w:rFonts w:hint="eastAsia"/>
          <w:b/>
          <w:sz w:val="36"/>
          <w:szCs w:val="36"/>
        </w:rPr>
        <w:cr/>
      </w:r>
    </w:p>
    <w:p>
      <w:pPr>
        <w:rPr>
          <w:rFonts w:ascii="宋体" w:hAnsi="宋体"/>
          <w:sz w:val="24"/>
          <w:u w:val="single"/>
        </w:rPr>
      </w:pPr>
      <w:r>
        <w:rPr>
          <w:rFonts w:hint="eastAsia" w:ascii="宋体" w:hAnsi="宋体"/>
          <w:sz w:val="24"/>
        </w:rPr>
        <w:t xml:space="preserve">1．磋商响应供应商概况：                                   </w:t>
      </w:r>
      <w:r>
        <w:rPr>
          <w:rFonts w:hint="eastAsia" w:ascii="宋体" w:hAnsi="宋体"/>
          <w:sz w:val="24"/>
        </w:rPr>
        <w:cr/>
      </w:r>
      <w:r>
        <w:rPr>
          <w:rFonts w:hint="eastAsia" w:ascii="宋体" w:hAnsi="宋体"/>
          <w:sz w:val="24"/>
        </w:rPr>
        <w:t xml:space="preserve">        Ａ．磋商响应供应商名称：</w:t>
      </w:r>
      <w:r>
        <w:rPr>
          <w:rFonts w:hint="eastAsia" w:ascii="宋体" w:hAnsi="宋体"/>
          <w:sz w:val="24"/>
          <w:u w:val="single"/>
        </w:rPr>
        <w:t xml:space="preserve">                               </w:t>
      </w:r>
      <w:r>
        <w:rPr>
          <w:rFonts w:hint="eastAsia" w:ascii="宋体" w:hAnsi="宋体"/>
          <w:sz w:val="24"/>
          <w:u w:val="single"/>
        </w:rPr>
        <w:cr/>
      </w:r>
      <w:r>
        <w:rPr>
          <w:rFonts w:hint="eastAsia" w:ascii="宋体" w:hAnsi="宋体"/>
          <w:sz w:val="24"/>
        </w:rPr>
        <w:t xml:space="preserve">        Ｂ．注册地址：</w:t>
      </w:r>
      <w:r>
        <w:rPr>
          <w:rFonts w:hint="eastAsia" w:ascii="宋体" w:hAnsi="宋体"/>
          <w:sz w:val="24"/>
          <w:u w:val="single"/>
        </w:rPr>
        <w:t xml:space="preserve">                                 </w:t>
      </w:r>
      <w:r>
        <w:rPr>
          <w:rFonts w:hint="eastAsia" w:ascii="宋体" w:hAnsi="宋体"/>
          <w:sz w:val="24"/>
          <w:u w:val="single"/>
        </w:rPr>
        <w:cr/>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邮编：</w:t>
      </w:r>
      <w:r>
        <w:rPr>
          <w:rFonts w:hint="eastAsia" w:ascii="宋体" w:hAnsi="宋体"/>
          <w:sz w:val="24"/>
          <w:u w:val="single"/>
        </w:rPr>
        <w:t xml:space="preserve">         </w:t>
      </w:r>
      <w:r>
        <w:rPr>
          <w:rFonts w:hint="eastAsia" w:ascii="宋体" w:hAnsi="宋体"/>
          <w:sz w:val="24"/>
        </w:rPr>
        <w:cr/>
      </w:r>
      <w:r>
        <w:rPr>
          <w:rFonts w:hint="eastAsia" w:ascii="宋体" w:hAnsi="宋体"/>
          <w:sz w:val="24"/>
        </w:rPr>
        <w:t xml:space="preserve">        Ｃ．成立或注册日期：</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Ｄ．法定代表人：</w:t>
      </w:r>
      <w:r>
        <w:rPr>
          <w:rFonts w:hint="eastAsia" w:ascii="宋体" w:hAnsi="宋体"/>
          <w:sz w:val="24"/>
          <w:u w:val="single"/>
        </w:rPr>
        <w:t xml:space="preserve">                   </w:t>
      </w:r>
      <w:r>
        <w:rPr>
          <w:rFonts w:hint="eastAsia" w:ascii="宋体" w:hAnsi="宋体"/>
          <w:sz w:val="24"/>
        </w:rPr>
        <w:t>（姓名、职务）</w:t>
      </w:r>
    </w:p>
    <w:p>
      <w:pPr>
        <w:rPr>
          <w:rFonts w:ascii="宋体" w:hAnsi="宋体"/>
          <w:sz w:val="24"/>
          <w:u w:val="single"/>
        </w:rPr>
      </w:pPr>
      <w:r>
        <w:rPr>
          <w:rFonts w:hint="eastAsia" w:ascii="宋体" w:hAnsi="宋体"/>
          <w:sz w:val="24"/>
        </w:rPr>
        <w:t xml:space="preserve">        实收资本：</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其中 国家资本：</w:t>
      </w:r>
      <w:r>
        <w:rPr>
          <w:rFonts w:hint="eastAsia" w:ascii="宋体" w:hAnsi="宋体"/>
          <w:sz w:val="24"/>
          <w:u w:val="single"/>
        </w:rPr>
        <w:t xml:space="preserve">             </w:t>
      </w:r>
      <w:r>
        <w:rPr>
          <w:rFonts w:hint="eastAsia" w:ascii="宋体" w:hAnsi="宋体"/>
          <w:sz w:val="24"/>
        </w:rPr>
        <w:t xml:space="preserve"> 法人资本：</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个人资本：</w:t>
      </w:r>
      <w:r>
        <w:rPr>
          <w:rFonts w:hint="eastAsia" w:ascii="宋体" w:hAnsi="宋体"/>
          <w:sz w:val="24"/>
          <w:u w:val="single"/>
        </w:rPr>
        <w:t xml:space="preserve">             </w:t>
      </w:r>
      <w:r>
        <w:rPr>
          <w:rFonts w:hint="eastAsia" w:ascii="宋体" w:hAnsi="宋体"/>
          <w:sz w:val="24"/>
        </w:rPr>
        <w:t xml:space="preserve"> 外商资本：</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Ｅ．最近资产负债表（到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日为止）。</w:t>
      </w:r>
    </w:p>
    <w:p>
      <w:pPr>
        <w:rPr>
          <w:rFonts w:ascii="宋体" w:hAnsi="宋体"/>
          <w:sz w:val="24"/>
          <w:u w:val="single"/>
        </w:rPr>
      </w:pPr>
      <w:r>
        <w:rPr>
          <w:rFonts w:hint="eastAsia" w:ascii="宋体" w:hAnsi="宋体"/>
          <w:sz w:val="24"/>
        </w:rPr>
        <w:t xml:space="preserve">        （1）固定资产合计：</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（2）流动资产合计：</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（3）长期负债合计：</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（4）流动负债合计：</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Ｆ．最近损益表（到</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日为止）。</w:t>
      </w:r>
    </w:p>
    <w:p>
      <w:pPr>
        <w:rPr>
          <w:rFonts w:ascii="宋体" w:hAnsi="宋体"/>
          <w:sz w:val="24"/>
          <w:u w:val="single"/>
        </w:rPr>
      </w:pPr>
      <w:r>
        <w:rPr>
          <w:rFonts w:hint="eastAsia" w:ascii="宋体" w:hAnsi="宋体"/>
          <w:sz w:val="24"/>
        </w:rPr>
        <w:t>（1）本年（期）利润总额累计：</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（2）本年（期）净利润累计： </w:t>
      </w:r>
      <w:r>
        <w:rPr>
          <w:rFonts w:hint="eastAsia" w:ascii="宋体" w:hAnsi="宋体"/>
          <w:sz w:val="24"/>
          <w:u w:val="single"/>
        </w:rPr>
        <w:t xml:space="preserve">             </w:t>
      </w:r>
    </w:p>
    <w:p>
      <w:pPr>
        <w:rPr>
          <w:rFonts w:ascii="宋体" w:hAnsi="宋体"/>
          <w:sz w:val="24"/>
        </w:rPr>
      </w:pPr>
    </w:p>
    <w:p>
      <w:pPr>
        <w:rPr>
          <w:rFonts w:ascii="宋体" w:hAnsi="宋体"/>
          <w:sz w:val="24"/>
        </w:rPr>
      </w:pPr>
      <w:r>
        <w:rPr>
          <w:rFonts w:hint="eastAsia" w:ascii="宋体" w:hAnsi="宋体"/>
          <w:sz w:val="24"/>
        </w:rPr>
        <w:t>2．我方在此声明，我方具备并满足下列各项条款的规定。本声明如有虚假或不实之处，我方将失去合格磋商响应供应商资格且我方的磋商响应保证金将不予退还。</w:t>
      </w:r>
    </w:p>
    <w:p>
      <w:pPr>
        <w:ind w:firstLine="480" w:firstLineChars="200"/>
        <w:rPr>
          <w:rFonts w:ascii="宋体" w:hAnsi="宋体"/>
          <w:sz w:val="24"/>
        </w:rPr>
      </w:pPr>
      <w:r>
        <w:rPr>
          <w:rFonts w:hint="eastAsia" w:ascii="宋体" w:hAnsi="宋体"/>
          <w:sz w:val="24"/>
        </w:rPr>
        <w:t>（1）具有独立承担民事责任的能力；</w:t>
      </w:r>
      <w:r>
        <w:rPr>
          <w:rFonts w:ascii="宋体" w:hAnsi="宋体"/>
          <w:sz w:val="24"/>
        </w:rPr>
        <w:t xml:space="preserve"> </w:t>
      </w:r>
    </w:p>
    <w:p>
      <w:pPr>
        <w:rPr>
          <w:rFonts w:ascii="宋体" w:hAnsi="宋体"/>
          <w:sz w:val="24"/>
        </w:rPr>
      </w:pPr>
      <w:r>
        <w:rPr>
          <w:rFonts w:hint="eastAsia" w:ascii="宋体" w:hAnsi="宋体"/>
          <w:sz w:val="24"/>
        </w:rPr>
        <w:t>　　（2）具有良好的商业信誉和健全的财务会计制度；</w:t>
      </w:r>
      <w:r>
        <w:rPr>
          <w:rFonts w:ascii="宋体" w:hAnsi="宋体"/>
          <w:sz w:val="24"/>
        </w:rPr>
        <w:t xml:space="preserve"> </w:t>
      </w:r>
    </w:p>
    <w:p>
      <w:pPr>
        <w:rPr>
          <w:rFonts w:ascii="宋体" w:hAnsi="宋体"/>
          <w:sz w:val="24"/>
        </w:rPr>
      </w:pPr>
      <w:r>
        <w:rPr>
          <w:rFonts w:hint="eastAsia" w:ascii="宋体" w:hAnsi="宋体"/>
          <w:sz w:val="24"/>
        </w:rPr>
        <w:t>　　（3）具有履行合同所必需的设备和专业技术能力；</w:t>
      </w:r>
      <w:r>
        <w:rPr>
          <w:rFonts w:ascii="宋体" w:hAnsi="宋体"/>
          <w:sz w:val="24"/>
        </w:rPr>
        <w:t xml:space="preserve"> </w:t>
      </w:r>
    </w:p>
    <w:p>
      <w:pPr>
        <w:rPr>
          <w:rFonts w:ascii="宋体" w:hAnsi="宋体"/>
          <w:sz w:val="24"/>
        </w:rPr>
      </w:pPr>
      <w:r>
        <w:rPr>
          <w:rFonts w:hint="eastAsia" w:ascii="宋体" w:hAnsi="宋体"/>
          <w:sz w:val="24"/>
        </w:rPr>
        <w:t>　　（4）有依法缴纳税收和社会保障资金的良好记录；</w:t>
      </w:r>
      <w:r>
        <w:rPr>
          <w:rFonts w:ascii="宋体" w:hAnsi="宋体"/>
          <w:sz w:val="24"/>
        </w:rPr>
        <w:t xml:space="preserve"> </w:t>
      </w:r>
    </w:p>
    <w:p>
      <w:pPr>
        <w:rPr>
          <w:rFonts w:ascii="宋体" w:hAnsi="宋体"/>
          <w:sz w:val="24"/>
        </w:rPr>
      </w:pPr>
      <w:r>
        <w:rPr>
          <w:rFonts w:hint="eastAsia" w:ascii="宋体" w:hAnsi="宋体"/>
          <w:sz w:val="24"/>
        </w:rPr>
        <w:t>　　（5）近三年内，在经营活动中没有重大违法记录。</w:t>
      </w:r>
      <w:r>
        <w:rPr>
          <w:rFonts w:ascii="宋体" w:hAnsi="宋体"/>
          <w:sz w:val="24"/>
        </w:rPr>
        <w:t xml:space="preserve"> </w:t>
      </w:r>
    </w:p>
    <w:p>
      <w:pPr>
        <w:rPr>
          <w:rFonts w:ascii="宋体" w:hAnsi="宋体"/>
          <w:sz w:val="24"/>
        </w:rPr>
      </w:pPr>
    </w:p>
    <w:p>
      <w:pPr>
        <w:rPr>
          <w:rFonts w:ascii="宋体" w:hAnsi="宋体"/>
          <w:sz w:val="24"/>
        </w:rPr>
      </w:pPr>
      <w:r>
        <w:rPr>
          <w:rFonts w:hint="eastAsia" w:ascii="宋体" w:hAnsi="宋体"/>
          <w:sz w:val="24"/>
        </w:rPr>
        <w:t>3．最近三年报价货物在国内主要用户的名称和地址：</w:t>
      </w:r>
    </w:p>
    <w:tbl>
      <w:tblPr>
        <w:tblStyle w:val="24"/>
        <w:tblW w:w="94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2523"/>
        <w:gridCol w:w="1243"/>
        <w:gridCol w:w="1463"/>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505" w:type="dxa"/>
            <w:vAlign w:val="center"/>
          </w:tcPr>
          <w:p>
            <w:pPr>
              <w:jc w:val="center"/>
              <w:rPr>
                <w:rFonts w:ascii="宋体" w:hAnsi="宋体"/>
                <w:sz w:val="24"/>
              </w:rPr>
            </w:pPr>
            <w:r>
              <w:rPr>
                <w:rFonts w:hint="eastAsia" w:ascii="宋体" w:hAnsi="宋体"/>
                <w:sz w:val="24"/>
              </w:rPr>
              <w:t>用户名称和地址</w:t>
            </w:r>
          </w:p>
        </w:tc>
        <w:tc>
          <w:tcPr>
            <w:tcW w:w="2523" w:type="dxa"/>
            <w:vAlign w:val="center"/>
          </w:tcPr>
          <w:p>
            <w:pPr>
              <w:jc w:val="center"/>
              <w:rPr>
                <w:rFonts w:ascii="宋体" w:hAnsi="宋体"/>
                <w:sz w:val="24"/>
              </w:rPr>
            </w:pPr>
            <w:r>
              <w:rPr>
                <w:rFonts w:hint="eastAsia" w:ascii="宋体" w:hAnsi="宋体"/>
                <w:sz w:val="24"/>
              </w:rPr>
              <w:t>销售货物名称、规格</w:t>
            </w:r>
          </w:p>
        </w:tc>
        <w:tc>
          <w:tcPr>
            <w:tcW w:w="1243" w:type="dxa"/>
            <w:vAlign w:val="center"/>
          </w:tcPr>
          <w:p>
            <w:pPr>
              <w:jc w:val="center"/>
              <w:rPr>
                <w:rFonts w:ascii="宋体" w:hAnsi="宋体"/>
                <w:sz w:val="24"/>
              </w:rPr>
            </w:pPr>
            <w:r>
              <w:rPr>
                <w:rFonts w:hint="eastAsia" w:ascii="宋体" w:hAnsi="宋体"/>
                <w:sz w:val="24"/>
              </w:rPr>
              <w:t>数量</w:t>
            </w:r>
          </w:p>
        </w:tc>
        <w:tc>
          <w:tcPr>
            <w:tcW w:w="1463" w:type="dxa"/>
            <w:vAlign w:val="center"/>
          </w:tcPr>
          <w:p>
            <w:pPr>
              <w:jc w:val="center"/>
              <w:rPr>
                <w:rFonts w:ascii="宋体" w:hAnsi="宋体"/>
                <w:sz w:val="24"/>
              </w:rPr>
            </w:pPr>
            <w:r>
              <w:rPr>
                <w:rFonts w:hint="eastAsia" w:ascii="宋体" w:hAnsi="宋体"/>
                <w:sz w:val="24"/>
              </w:rPr>
              <w:t>交货日期</w:t>
            </w:r>
          </w:p>
        </w:tc>
        <w:tc>
          <w:tcPr>
            <w:tcW w:w="1698" w:type="dxa"/>
            <w:vAlign w:val="center"/>
          </w:tcPr>
          <w:p>
            <w:pPr>
              <w:jc w:val="center"/>
              <w:rPr>
                <w:rFonts w:ascii="宋体" w:hAnsi="宋体"/>
                <w:sz w:val="24"/>
              </w:rPr>
            </w:pPr>
            <w:r>
              <w:rPr>
                <w:rFonts w:hint="eastAsia" w:ascii="宋体" w:hAnsi="宋体"/>
                <w:sz w:val="24"/>
              </w:rPr>
              <w:t>运行状况</w:t>
            </w:r>
          </w:p>
        </w:tc>
      </w:tr>
      <w:tr>
        <w:tblPrEx>
          <w:tblLayout w:type="fixed"/>
          <w:tblCellMar>
            <w:top w:w="0" w:type="dxa"/>
            <w:left w:w="108" w:type="dxa"/>
            <w:bottom w:w="0" w:type="dxa"/>
            <w:right w:w="108" w:type="dxa"/>
          </w:tblCellMar>
        </w:tblPrEx>
        <w:trPr>
          <w:cantSplit/>
          <w:trHeight w:val="454" w:hRule="exact"/>
          <w:jc w:val="center"/>
        </w:trPr>
        <w:tc>
          <w:tcPr>
            <w:tcW w:w="2505" w:type="dxa"/>
          </w:tcPr>
          <w:p>
            <w:pPr>
              <w:rPr>
                <w:rFonts w:ascii="宋体" w:hAnsi="宋体"/>
                <w:sz w:val="24"/>
              </w:rPr>
            </w:pPr>
          </w:p>
        </w:tc>
        <w:tc>
          <w:tcPr>
            <w:tcW w:w="2523" w:type="dxa"/>
          </w:tcPr>
          <w:p>
            <w:pPr>
              <w:rPr>
                <w:rFonts w:ascii="宋体" w:hAnsi="宋体"/>
                <w:sz w:val="24"/>
              </w:rPr>
            </w:pPr>
          </w:p>
        </w:tc>
        <w:tc>
          <w:tcPr>
            <w:tcW w:w="1243" w:type="dxa"/>
          </w:tcPr>
          <w:p>
            <w:pPr>
              <w:rPr>
                <w:rFonts w:ascii="宋体" w:hAnsi="宋体"/>
                <w:sz w:val="24"/>
              </w:rPr>
            </w:pPr>
          </w:p>
        </w:tc>
        <w:tc>
          <w:tcPr>
            <w:tcW w:w="1463" w:type="dxa"/>
          </w:tcPr>
          <w:p>
            <w:pPr>
              <w:rPr>
                <w:rFonts w:ascii="宋体" w:hAnsi="宋体"/>
                <w:sz w:val="24"/>
              </w:rPr>
            </w:pPr>
          </w:p>
        </w:tc>
        <w:tc>
          <w:tcPr>
            <w:tcW w:w="1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505" w:type="dxa"/>
          </w:tcPr>
          <w:p>
            <w:pPr>
              <w:rPr>
                <w:rFonts w:ascii="宋体" w:hAnsi="宋体"/>
                <w:sz w:val="24"/>
              </w:rPr>
            </w:pPr>
          </w:p>
        </w:tc>
        <w:tc>
          <w:tcPr>
            <w:tcW w:w="2523" w:type="dxa"/>
          </w:tcPr>
          <w:p>
            <w:pPr>
              <w:rPr>
                <w:rFonts w:ascii="宋体" w:hAnsi="宋体"/>
                <w:sz w:val="24"/>
              </w:rPr>
            </w:pPr>
          </w:p>
        </w:tc>
        <w:tc>
          <w:tcPr>
            <w:tcW w:w="1243" w:type="dxa"/>
          </w:tcPr>
          <w:p>
            <w:pPr>
              <w:rPr>
                <w:rFonts w:ascii="宋体" w:hAnsi="宋体"/>
                <w:sz w:val="24"/>
              </w:rPr>
            </w:pPr>
          </w:p>
        </w:tc>
        <w:tc>
          <w:tcPr>
            <w:tcW w:w="1463" w:type="dxa"/>
          </w:tcPr>
          <w:p>
            <w:pPr>
              <w:rPr>
                <w:rFonts w:ascii="宋体" w:hAnsi="宋体"/>
                <w:sz w:val="24"/>
              </w:rPr>
            </w:pPr>
          </w:p>
        </w:tc>
        <w:tc>
          <w:tcPr>
            <w:tcW w:w="1698" w:type="dxa"/>
          </w:tcPr>
          <w:p>
            <w:pPr>
              <w:rPr>
                <w:rFonts w:ascii="宋体" w:hAnsi="宋体"/>
                <w:sz w:val="24"/>
              </w:rPr>
            </w:pPr>
          </w:p>
        </w:tc>
      </w:tr>
      <w:tr>
        <w:tblPrEx>
          <w:tblLayout w:type="fixed"/>
          <w:tblCellMar>
            <w:top w:w="0" w:type="dxa"/>
            <w:left w:w="108" w:type="dxa"/>
            <w:bottom w:w="0" w:type="dxa"/>
            <w:right w:w="108" w:type="dxa"/>
          </w:tblCellMar>
        </w:tblPrEx>
        <w:trPr>
          <w:cantSplit/>
          <w:trHeight w:val="454" w:hRule="exact"/>
          <w:jc w:val="center"/>
        </w:trPr>
        <w:tc>
          <w:tcPr>
            <w:tcW w:w="2505" w:type="dxa"/>
          </w:tcPr>
          <w:p>
            <w:pPr>
              <w:rPr>
                <w:rFonts w:ascii="宋体" w:hAnsi="宋体"/>
                <w:sz w:val="24"/>
              </w:rPr>
            </w:pPr>
          </w:p>
        </w:tc>
        <w:tc>
          <w:tcPr>
            <w:tcW w:w="2523" w:type="dxa"/>
          </w:tcPr>
          <w:p>
            <w:pPr>
              <w:rPr>
                <w:rFonts w:ascii="宋体" w:hAnsi="宋体"/>
                <w:sz w:val="24"/>
              </w:rPr>
            </w:pPr>
          </w:p>
        </w:tc>
        <w:tc>
          <w:tcPr>
            <w:tcW w:w="1243" w:type="dxa"/>
          </w:tcPr>
          <w:p>
            <w:pPr>
              <w:rPr>
                <w:rFonts w:ascii="宋体" w:hAnsi="宋体"/>
                <w:sz w:val="24"/>
              </w:rPr>
            </w:pPr>
          </w:p>
        </w:tc>
        <w:tc>
          <w:tcPr>
            <w:tcW w:w="1463" w:type="dxa"/>
          </w:tcPr>
          <w:p>
            <w:pPr>
              <w:rPr>
                <w:rFonts w:ascii="宋体" w:hAnsi="宋体"/>
                <w:sz w:val="24"/>
              </w:rPr>
            </w:pPr>
          </w:p>
        </w:tc>
        <w:tc>
          <w:tcPr>
            <w:tcW w:w="1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505" w:type="dxa"/>
          </w:tcPr>
          <w:p>
            <w:pPr>
              <w:rPr>
                <w:rFonts w:ascii="宋体" w:hAnsi="宋体"/>
                <w:sz w:val="24"/>
              </w:rPr>
            </w:pPr>
          </w:p>
        </w:tc>
        <w:tc>
          <w:tcPr>
            <w:tcW w:w="2523" w:type="dxa"/>
          </w:tcPr>
          <w:p>
            <w:pPr>
              <w:rPr>
                <w:rFonts w:ascii="宋体" w:hAnsi="宋体"/>
                <w:sz w:val="24"/>
              </w:rPr>
            </w:pPr>
          </w:p>
        </w:tc>
        <w:tc>
          <w:tcPr>
            <w:tcW w:w="1243" w:type="dxa"/>
          </w:tcPr>
          <w:p>
            <w:pPr>
              <w:rPr>
                <w:rFonts w:ascii="宋体" w:hAnsi="宋体"/>
                <w:sz w:val="24"/>
              </w:rPr>
            </w:pPr>
          </w:p>
        </w:tc>
        <w:tc>
          <w:tcPr>
            <w:tcW w:w="1463" w:type="dxa"/>
          </w:tcPr>
          <w:p>
            <w:pPr>
              <w:rPr>
                <w:rFonts w:ascii="宋体" w:hAnsi="宋体"/>
                <w:sz w:val="24"/>
              </w:rPr>
            </w:pPr>
          </w:p>
        </w:tc>
        <w:tc>
          <w:tcPr>
            <w:tcW w:w="1698" w:type="dxa"/>
          </w:tcPr>
          <w:p>
            <w:pPr>
              <w:rPr>
                <w:rFonts w:ascii="宋体" w:hAnsi="宋体"/>
                <w:sz w:val="24"/>
              </w:rPr>
            </w:pPr>
          </w:p>
        </w:tc>
      </w:tr>
      <w:tr>
        <w:tblPrEx>
          <w:tblLayout w:type="fixed"/>
          <w:tblCellMar>
            <w:top w:w="0" w:type="dxa"/>
            <w:left w:w="108" w:type="dxa"/>
            <w:bottom w:w="0" w:type="dxa"/>
            <w:right w:w="108" w:type="dxa"/>
          </w:tblCellMar>
        </w:tblPrEx>
        <w:trPr>
          <w:cantSplit/>
          <w:trHeight w:val="454" w:hRule="exact"/>
          <w:jc w:val="center"/>
        </w:trPr>
        <w:tc>
          <w:tcPr>
            <w:tcW w:w="2505" w:type="dxa"/>
          </w:tcPr>
          <w:p>
            <w:pPr>
              <w:rPr>
                <w:rFonts w:ascii="宋体" w:hAnsi="宋体"/>
                <w:sz w:val="24"/>
              </w:rPr>
            </w:pPr>
          </w:p>
        </w:tc>
        <w:tc>
          <w:tcPr>
            <w:tcW w:w="2523" w:type="dxa"/>
          </w:tcPr>
          <w:p>
            <w:pPr>
              <w:rPr>
                <w:rFonts w:ascii="宋体" w:hAnsi="宋体"/>
                <w:sz w:val="24"/>
              </w:rPr>
            </w:pPr>
          </w:p>
        </w:tc>
        <w:tc>
          <w:tcPr>
            <w:tcW w:w="1243" w:type="dxa"/>
          </w:tcPr>
          <w:p>
            <w:pPr>
              <w:rPr>
                <w:rFonts w:ascii="宋体" w:hAnsi="宋体"/>
                <w:sz w:val="24"/>
              </w:rPr>
            </w:pPr>
          </w:p>
        </w:tc>
        <w:tc>
          <w:tcPr>
            <w:tcW w:w="1463" w:type="dxa"/>
          </w:tcPr>
          <w:p>
            <w:pPr>
              <w:rPr>
                <w:rFonts w:ascii="宋体" w:hAnsi="宋体"/>
                <w:sz w:val="24"/>
              </w:rPr>
            </w:pPr>
          </w:p>
        </w:tc>
        <w:tc>
          <w:tcPr>
            <w:tcW w:w="1698"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505" w:type="dxa"/>
          </w:tcPr>
          <w:p>
            <w:pPr>
              <w:rPr>
                <w:rFonts w:ascii="宋体" w:hAnsi="宋体"/>
                <w:sz w:val="24"/>
              </w:rPr>
            </w:pPr>
          </w:p>
        </w:tc>
        <w:tc>
          <w:tcPr>
            <w:tcW w:w="2523" w:type="dxa"/>
          </w:tcPr>
          <w:p>
            <w:pPr>
              <w:rPr>
                <w:rFonts w:ascii="宋体" w:hAnsi="宋体"/>
                <w:sz w:val="24"/>
              </w:rPr>
            </w:pPr>
          </w:p>
        </w:tc>
        <w:tc>
          <w:tcPr>
            <w:tcW w:w="1243" w:type="dxa"/>
          </w:tcPr>
          <w:p>
            <w:pPr>
              <w:rPr>
                <w:rFonts w:ascii="宋体" w:hAnsi="宋体"/>
                <w:sz w:val="24"/>
              </w:rPr>
            </w:pPr>
          </w:p>
        </w:tc>
        <w:tc>
          <w:tcPr>
            <w:tcW w:w="1463" w:type="dxa"/>
          </w:tcPr>
          <w:p>
            <w:pPr>
              <w:rPr>
                <w:rFonts w:ascii="宋体" w:hAnsi="宋体"/>
                <w:sz w:val="24"/>
              </w:rPr>
            </w:pPr>
          </w:p>
        </w:tc>
        <w:tc>
          <w:tcPr>
            <w:tcW w:w="1698" w:type="dxa"/>
          </w:tcPr>
          <w:p>
            <w:pPr>
              <w:rPr>
                <w:rFonts w:ascii="宋体" w:hAnsi="宋体"/>
                <w:sz w:val="24"/>
              </w:rPr>
            </w:pPr>
          </w:p>
        </w:tc>
      </w:tr>
    </w:tbl>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4</w:t>
      </w:r>
      <w:r>
        <w:rPr>
          <w:rFonts w:ascii="宋体" w:hAnsi="宋体"/>
          <w:sz w:val="24"/>
        </w:rPr>
        <w:t>.</w:t>
      </w:r>
      <w:r>
        <w:rPr>
          <w:rFonts w:hint="eastAsia" w:ascii="宋体" w:hAnsi="宋体"/>
          <w:sz w:val="24"/>
        </w:rPr>
        <w:t xml:space="preserve"> 法人营业执照、税务登记证见复印件。</w:t>
      </w:r>
    </w:p>
    <w:p>
      <w:pPr>
        <w:rPr>
          <w:rFonts w:ascii="宋体" w:hAnsi="宋体"/>
          <w:sz w:val="24"/>
        </w:rPr>
      </w:pPr>
    </w:p>
    <w:p>
      <w:pPr>
        <w:ind w:firstLine="480" w:firstLineChars="200"/>
        <w:rPr>
          <w:rFonts w:ascii="宋体" w:hAnsi="宋体"/>
          <w:sz w:val="24"/>
        </w:rPr>
      </w:pPr>
      <w:r>
        <w:rPr>
          <w:rFonts w:hint="eastAsia" w:ascii="宋体" w:hAnsi="宋体"/>
          <w:sz w:val="24"/>
        </w:rPr>
        <w:t>就我方全部所知，兹证明上述声明是真实、正确的，并已提供了全部现有资料和数据，我方同意根据贵方要求出示文件予以证实。</w:t>
      </w:r>
    </w:p>
    <w:p>
      <w:pPr>
        <w:rPr>
          <w:rFonts w:ascii="宋体" w:hAnsi="宋体"/>
          <w:sz w:val="24"/>
        </w:rPr>
      </w:pPr>
    </w:p>
    <w:p>
      <w:pPr>
        <w:rPr>
          <w:rFonts w:ascii="宋体" w:hAnsi="宋体"/>
          <w:sz w:val="24"/>
        </w:rPr>
      </w:pPr>
      <w:r>
        <w:rPr>
          <w:rFonts w:hint="eastAsia" w:ascii="宋体" w:hAnsi="宋体"/>
          <w:sz w:val="24"/>
        </w:rPr>
        <w:t xml:space="preserve">    磋商响应供应商全称（加盖公章）：</w:t>
      </w:r>
      <w:r>
        <w:rPr>
          <w:rFonts w:hint="eastAsia" w:ascii="宋体" w:hAnsi="宋体"/>
          <w:sz w:val="24"/>
          <w:u w:val="single"/>
        </w:rPr>
        <w:t xml:space="preserve">                   </w:t>
      </w:r>
    </w:p>
    <w:p>
      <w:pPr>
        <w:rPr>
          <w:rFonts w:ascii="宋体" w:hAnsi="宋体"/>
          <w:sz w:val="24"/>
          <w:u w:val="single"/>
        </w:rPr>
      </w:pPr>
      <w:r>
        <w:rPr>
          <w:rFonts w:hint="eastAsia" w:ascii="宋体" w:hAnsi="宋体"/>
          <w:sz w:val="24"/>
        </w:rPr>
        <w:t xml:space="preserve">    磋商响应供应商代表签字：</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 xml:space="preserve"> 日</w:t>
      </w:r>
    </w:p>
    <w:p>
      <w:pPr>
        <w:ind w:firstLine="480" w:firstLineChars="200"/>
        <w:rPr>
          <w:rFonts w:ascii="宋体" w:hAnsi="宋体"/>
          <w:sz w:val="24"/>
          <w:u w:val="single"/>
        </w:rPr>
      </w:pPr>
      <w:r>
        <w:rPr>
          <w:rFonts w:hint="eastAsia" w:ascii="宋体" w:hAnsi="宋体"/>
          <w:sz w:val="24"/>
        </w:rPr>
        <w:t>电      传：</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传      真：</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电      话：</w:t>
      </w:r>
      <w:r>
        <w:rPr>
          <w:rFonts w:hint="eastAsia" w:ascii="宋体" w:hAnsi="宋体"/>
          <w:sz w:val="24"/>
          <w:u w:val="single"/>
        </w:rPr>
        <w:t xml:space="preserve">                </w:t>
      </w:r>
    </w:p>
    <w:p>
      <w:pPr>
        <w:jc w:val="center"/>
        <w:rPr>
          <w:rFonts w:hAnsi="宋体"/>
        </w:rPr>
        <w:sectPr>
          <w:pgSz w:w="11906" w:h="16838"/>
          <w:pgMar w:top="930" w:right="1179" w:bottom="38" w:left="1179" w:header="851" w:footer="992" w:gutter="0"/>
          <w:cols w:space="0" w:num="1"/>
          <w:docGrid w:type="lines" w:linePitch="312" w:charSpace="0"/>
        </w:sectPr>
      </w:pPr>
    </w:p>
    <w:p>
      <w:pPr>
        <w:jc w:val="center"/>
        <w:rPr>
          <w:b/>
          <w:sz w:val="36"/>
          <w:szCs w:val="36"/>
        </w:rPr>
      </w:pPr>
      <w:r>
        <w:rPr>
          <w:rFonts w:hint="eastAsia"/>
          <w:b/>
          <w:sz w:val="36"/>
          <w:szCs w:val="36"/>
        </w:rPr>
        <w:t>资格审查表</w:t>
      </w:r>
    </w:p>
    <w:tbl>
      <w:tblPr>
        <w:tblStyle w:val="24"/>
        <w:tblW w:w="9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6807"/>
        <w:gridCol w:w="1312"/>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spacing w:line="360" w:lineRule="auto"/>
              <w:jc w:val="center"/>
              <w:rPr>
                <w:rFonts w:ascii="宋体" w:hAnsi="宋体"/>
                <w:b/>
                <w:bCs/>
                <w:sz w:val="24"/>
              </w:rPr>
            </w:pPr>
            <w:r>
              <w:rPr>
                <w:rFonts w:hint="eastAsia" w:ascii="宋体" w:hAnsi="宋体"/>
                <w:b/>
                <w:bCs/>
                <w:sz w:val="24"/>
              </w:rPr>
              <w:t>序号</w:t>
            </w:r>
          </w:p>
        </w:tc>
        <w:tc>
          <w:tcPr>
            <w:tcW w:w="6807" w:type="dxa"/>
            <w:vAlign w:val="center"/>
          </w:tcPr>
          <w:p>
            <w:pPr>
              <w:spacing w:line="360" w:lineRule="auto"/>
              <w:jc w:val="center"/>
              <w:rPr>
                <w:rFonts w:ascii="宋体" w:hAnsi="宋体"/>
                <w:b/>
                <w:bCs/>
                <w:sz w:val="24"/>
              </w:rPr>
            </w:pPr>
            <w:r>
              <w:rPr>
                <w:rFonts w:hint="eastAsia" w:ascii="宋体" w:hAnsi="宋体"/>
                <w:b/>
                <w:bCs/>
                <w:sz w:val="24"/>
              </w:rPr>
              <w:t>资格证明文件</w:t>
            </w:r>
          </w:p>
        </w:tc>
        <w:tc>
          <w:tcPr>
            <w:tcW w:w="1312" w:type="dxa"/>
            <w:vAlign w:val="center"/>
          </w:tcPr>
          <w:p>
            <w:pPr>
              <w:spacing w:line="360" w:lineRule="auto"/>
              <w:jc w:val="center"/>
              <w:rPr>
                <w:rFonts w:ascii="宋体" w:hAnsi="宋体"/>
                <w:b/>
                <w:bCs/>
                <w:sz w:val="24"/>
              </w:rPr>
            </w:pPr>
            <w:r>
              <w:rPr>
                <w:rFonts w:hint="eastAsia" w:ascii="宋体" w:hAnsi="宋体"/>
                <w:b/>
                <w:bCs/>
                <w:sz w:val="24"/>
              </w:rPr>
              <w:t>对应响应</w:t>
            </w:r>
          </w:p>
          <w:p>
            <w:pPr>
              <w:spacing w:line="360" w:lineRule="auto"/>
              <w:jc w:val="center"/>
              <w:rPr>
                <w:rFonts w:ascii="宋体" w:hAnsi="宋体"/>
                <w:b/>
                <w:bCs/>
                <w:sz w:val="24"/>
              </w:rPr>
            </w:pPr>
            <w:r>
              <w:rPr>
                <w:rFonts w:hint="eastAsia" w:ascii="宋体" w:hAnsi="宋体"/>
                <w:b/>
                <w:bCs/>
                <w:sz w:val="24"/>
              </w:rPr>
              <w:t>文件页码</w:t>
            </w:r>
          </w:p>
        </w:tc>
        <w:tc>
          <w:tcPr>
            <w:tcW w:w="837" w:type="dxa"/>
            <w:vAlign w:val="center"/>
          </w:tcPr>
          <w:p>
            <w:pPr>
              <w:spacing w:line="360" w:lineRule="auto"/>
              <w:jc w:val="center"/>
              <w:rPr>
                <w:rFonts w:ascii="宋体" w:hAnsi="宋体"/>
                <w:b/>
                <w:bCs/>
                <w:sz w:val="24"/>
              </w:rPr>
            </w:pPr>
            <w:r>
              <w:rPr>
                <w:rFonts w:hint="eastAsia" w:ascii="宋体" w:hAnsi="宋体"/>
                <w:b/>
                <w:bCs/>
                <w:sz w:val="24"/>
              </w:rPr>
              <w:t>说明</w:t>
            </w:r>
          </w:p>
        </w:tc>
      </w:tr>
      <w:tr>
        <w:tblPrEx>
          <w:tblLayout w:type="fixed"/>
          <w:tblCellMar>
            <w:top w:w="0" w:type="dxa"/>
            <w:left w:w="108" w:type="dxa"/>
            <w:bottom w:w="0" w:type="dxa"/>
            <w:right w:w="108" w:type="dxa"/>
          </w:tblCellMar>
        </w:tblPrEx>
        <w:trPr>
          <w:jc w:val="center"/>
        </w:trPr>
        <w:tc>
          <w:tcPr>
            <w:tcW w:w="761" w:type="dxa"/>
            <w:vAlign w:val="center"/>
          </w:tcPr>
          <w:p>
            <w:pPr>
              <w:spacing w:line="360" w:lineRule="auto"/>
              <w:jc w:val="center"/>
              <w:rPr>
                <w:rFonts w:ascii="宋体" w:hAnsi="宋体"/>
                <w:bCs/>
                <w:sz w:val="24"/>
              </w:rPr>
            </w:pPr>
            <w:r>
              <w:rPr>
                <w:rFonts w:hint="eastAsia" w:ascii="宋体" w:hAnsi="宋体"/>
                <w:bCs/>
                <w:sz w:val="24"/>
              </w:rPr>
              <w:t>1</w:t>
            </w:r>
          </w:p>
        </w:tc>
        <w:tc>
          <w:tcPr>
            <w:tcW w:w="6807" w:type="dxa"/>
            <w:vAlign w:val="center"/>
          </w:tcPr>
          <w:p>
            <w:pPr>
              <w:spacing w:line="480" w:lineRule="exact"/>
              <w:rPr>
                <w:rFonts w:ascii="宋体" w:hAnsi="宋体"/>
                <w:bCs/>
                <w:sz w:val="24"/>
              </w:rPr>
            </w:pPr>
            <w:r>
              <w:rPr>
                <w:rFonts w:hint="eastAsia" w:asciiTheme="minorEastAsia" w:hAnsiTheme="minorEastAsia" w:eastAsiaTheme="minorEastAsia" w:cstheme="minorEastAsia"/>
                <w:sz w:val="24"/>
              </w:rPr>
              <w:t>法人或者其他组织的营业执照等证明文件，自然人的身份证明；供应商是法人或者其他组织的应提供营业执照等证明文件，供应商是自然人的应提供有效的自然人身份证明。</w:t>
            </w:r>
          </w:p>
        </w:tc>
        <w:tc>
          <w:tcPr>
            <w:tcW w:w="1312" w:type="dxa"/>
            <w:vAlign w:val="center"/>
          </w:tcPr>
          <w:p>
            <w:pPr>
              <w:spacing w:line="360" w:lineRule="auto"/>
              <w:jc w:val="center"/>
              <w:rPr>
                <w:rFonts w:ascii="宋体" w:hAnsi="宋体"/>
                <w:bCs/>
                <w:sz w:val="24"/>
              </w:rPr>
            </w:pPr>
          </w:p>
        </w:tc>
        <w:tc>
          <w:tcPr>
            <w:tcW w:w="837" w:type="dxa"/>
            <w:vAlign w:val="center"/>
          </w:tcPr>
          <w:p>
            <w:pPr>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spacing w:line="360" w:lineRule="auto"/>
              <w:jc w:val="center"/>
              <w:rPr>
                <w:rFonts w:ascii="宋体" w:hAnsi="宋体"/>
                <w:bCs/>
                <w:sz w:val="24"/>
              </w:rPr>
            </w:pPr>
            <w:r>
              <w:rPr>
                <w:rFonts w:hint="eastAsia" w:ascii="宋体" w:hAnsi="宋体"/>
                <w:bCs/>
                <w:sz w:val="24"/>
              </w:rPr>
              <w:t>2</w:t>
            </w:r>
          </w:p>
        </w:tc>
        <w:tc>
          <w:tcPr>
            <w:tcW w:w="6807" w:type="dxa"/>
            <w:vAlign w:val="center"/>
          </w:tcPr>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磋商响应供应商须提供磋商响应供应商代表的身份证复印件（正反面均需复印），磋商响应供应商代表若不是法定代表人的，必须在磋商响应文件中提供法定代表人授权书原件。</w:t>
            </w:r>
          </w:p>
        </w:tc>
        <w:tc>
          <w:tcPr>
            <w:tcW w:w="1312" w:type="dxa"/>
            <w:vAlign w:val="center"/>
          </w:tcPr>
          <w:p>
            <w:pPr>
              <w:spacing w:line="360" w:lineRule="auto"/>
              <w:jc w:val="center"/>
              <w:rPr>
                <w:rFonts w:ascii="宋体" w:hAnsi="宋体"/>
                <w:bCs/>
                <w:sz w:val="24"/>
              </w:rPr>
            </w:pPr>
          </w:p>
        </w:tc>
        <w:tc>
          <w:tcPr>
            <w:tcW w:w="837" w:type="dxa"/>
            <w:vAlign w:val="center"/>
          </w:tcPr>
          <w:p>
            <w:pPr>
              <w:spacing w:line="360" w:lineRule="auto"/>
              <w:jc w:val="center"/>
              <w:rPr>
                <w:rFonts w:ascii="宋体" w:hAnsi="宋体"/>
                <w:bCs/>
                <w:sz w:val="24"/>
              </w:rPr>
            </w:pPr>
          </w:p>
        </w:tc>
      </w:tr>
      <w:tr>
        <w:tblPrEx>
          <w:tblLayout w:type="fixed"/>
          <w:tblCellMar>
            <w:top w:w="0" w:type="dxa"/>
            <w:left w:w="108" w:type="dxa"/>
            <w:bottom w:w="0" w:type="dxa"/>
            <w:right w:w="108" w:type="dxa"/>
          </w:tblCellMar>
        </w:tblPrEx>
        <w:trPr>
          <w:jc w:val="center"/>
        </w:trPr>
        <w:tc>
          <w:tcPr>
            <w:tcW w:w="761" w:type="dxa"/>
            <w:vAlign w:val="center"/>
          </w:tcPr>
          <w:p>
            <w:pPr>
              <w:spacing w:line="360" w:lineRule="auto"/>
              <w:jc w:val="center"/>
              <w:rPr>
                <w:rFonts w:ascii="宋体" w:hAnsi="宋体"/>
                <w:bCs/>
                <w:sz w:val="24"/>
              </w:rPr>
            </w:pPr>
            <w:r>
              <w:rPr>
                <w:rFonts w:hint="eastAsia" w:ascii="宋体" w:hAnsi="宋体"/>
                <w:bCs/>
                <w:sz w:val="24"/>
              </w:rPr>
              <w:t>3</w:t>
            </w:r>
          </w:p>
        </w:tc>
        <w:tc>
          <w:tcPr>
            <w:tcW w:w="6807" w:type="dxa"/>
            <w:vAlign w:val="center"/>
          </w:tcPr>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具备履行合同所必需的设备和专业技术能力的证明材料（可以提供证书、承诺书等）。</w:t>
            </w:r>
          </w:p>
        </w:tc>
        <w:tc>
          <w:tcPr>
            <w:tcW w:w="1312" w:type="dxa"/>
            <w:vAlign w:val="center"/>
          </w:tcPr>
          <w:p>
            <w:pPr>
              <w:spacing w:line="360" w:lineRule="auto"/>
              <w:jc w:val="center"/>
              <w:rPr>
                <w:rFonts w:ascii="宋体" w:hAnsi="宋体"/>
                <w:bCs/>
                <w:sz w:val="24"/>
              </w:rPr>
            </w:pPr>
          </w:p>
        </w:tc>
        <w:tc>
          <w:tcPr>
            <w:tcW w:w="837" w:type="dxa"/>
            <w:vAlign w:val="center"/>
          </w:tcPr>
          <w:p>
            <w:pPr>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spacing w:line="360" w:lineRule="auto"/>
              <w:jc w:val="center"/>
              <w:rPr>
                <w:rFonts w:ascii="宋体" w:hAnsi="宋体"/>
                <w:bCs/>
                <w:sz w:val="24"/>
              </w:rPr>
            </w:pPr>
            <w:r>
              <w:rPr>
                <w:rFonts w:hint="eastAsia" w:ascii="宋体" w:hAnsi="宋体"/>
                <w:bCs/>
                <w:sz w:val="24"/>
              </w:rPr>
              <w:t>4</w:t>
            </w:r>
          </w:p>
        </w:tc>
        <w:tc>
          <w:tcPr>
            <w:tcW w:w="6807" w:type="dxa"/>
            <w:vAlign w:val="center"/>
          </w:tcPr>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参加采购活动前 3 年内在经营活动中没有重大违法记录的书面声明。</w:t>
            </w:r>
          </w:p>
        </w:tc>
        <w:tc>
          <w:tcPr>
            <w:tcW w:w="1312" w:type="dxa"/>
            <w:vAlign w:val="center"/>
          </w:tcPr>
          <w:p>
            <w:pPr>
              <w:spacing w:line="360" w:lineRule="auto"/>
              <w:jc w:val="center"/>
              <w:rPr>
                <w:rFonts w:ascii="宋体" w:hAnsi="宋体"/>
                <w:bCs/>
                <w:sz w:val="24"/>
              </w:rPr>
            </w:pPr>
          </w:p>
        </w:tc>
        <w:tc>
          <w:tcPr>
            <w:tcW w:w="837" w:type="dxa"/>
            <w:vAlign w:val="center"/>
          </w:tcPr>
          <w:p>
            <w:pPr>
              <w:spacing w:line="360" w:lineRule="auto"/>
              <w:jc w:val="center"/>
              <w:rPr>
                <w:rFonts w:ascii="宋体" w:hAnsi="宋体"/>
                <w:bCs/>
                <w:sz w:val="24"/>
              </w:rPr>
            </w:pPr>
          </w:p>
        </w:tc>
      </w:tr>
      <w:tr>
        <w:tblPrEx>
          <w:tblLayout w:type="fixed"/>
          <w:tblCellMar>
            <w:top w:w="0" w:type="dxa"/>
            <w:left w:w="108" w:type="dxa"/>
            <w:bottom w:w="0" w:type="dxa"/>
            <w:right w:w="108" w:type="dxa"/>
          </w:tblCellMar>
        </w:tblPrEx>
        <w:trPr>
          <w:jc w:val="center"/>
        </w:trPr>
        <w:tc>
          <w:tcPr>
            <w:tcW w:w="761" w:type="dxa"/>
            <w:vAlign w:val="center"/>
          </w:tcPr>
          <w:p>
            <w:pPr>
              <w:spacing w:line="360" w:lineRule="auto"/>
              <w:jc w:val="center"/>
              <w:rPr>
                <w:rFonts w:ascii="宋体" w:hAnsi="宋体"/>
                <w:bCs/>
                <w:sz w:val="24"/>
              </w:rPr>
            </w:pPr>
            <w:r>
              <w:rPr>
                <w:rFonts w:hint="eastAsia" w:ascii="宋体" w:hAnsi="宋体"/>
                <w:bCs/>
                <w:sz w:val="24"/>
              </w:rPr>
              <w:t>5</w:t>
            </w:r>
          </w:p>
        </w:tc>
        <w:tc>
          <w:tcPr>
            <w:tcW w:w="6807" w:type="dxa"/>
            <w:vAlign w:val="center"/>
          </w:tcPr>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前3年内在经营活动中没有行贿记录的书面声明。</w:t>
            </w:r>
          </w:p>
        </w:tc>
        <w:tc>
          <w:tcPr>
            <w:tcW w:w="1312" w:type="dxa"/>
            <w:vAlign w:val="center"/>
          </w:tcPr>
          <w:p>
            <w:pPr>
              <w:spacing w:line="360" w:lineRule="auto"/>
              <w:jc w:val="center"/>
              <w:rPr>
                <w:rFonts w:ascii="宋体" w:hAnsi="宋体"/>
                <w:bCs/>
                <w:sz w:val="24"/>
              </w:rPr>
            </w:pPr>
          </w:p>
        </w:tc>
        <w:tc>
          <w:tcPr>
            <w:tcW w:w="837" w:type="dxa"/>
            <w:vAlign w:val="center"/>
          </w:tcPr>
          <w:p>
            <w:pPr>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spacing w:line="360" w:lineRule="auto"/>
              <w:jc w:val="center"/>
              <w:rPr>
                <w:rFonts w:ascii="宋体" w:hAnsi="宋体"/>
                <w:bCs/>
                <w:sz w:val="24"/>
              </w:rPr>
            </w:pPr>
            <w:r>
              <w:rPr>
                <w:rFonts w:hint="eastAsia" w:ascii="宋体" w:hAnsi="宋体"/>
                <w:bCs/>
                <w:sz w:val="24"/>
              </w:rPr>
              <w:t>6</w:t>
            </w:r>
          </w:p>
        </w:tc>
        <w:tc>
          <w:tcPr>
            <w:tcW w:w="6807" w:type="dxa"/>
            <w:vAlign w:val="center"/>
          </w:tcPr>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记录，按照下列规定执行：（1）磋商响应供应商应在（采购文件要求的磋商响应截止时间前）分别通过“信用厦门”网址（http://credit.xm.gov.cn/）、“信用中国”网站（www.creditchina.gov.cn）、中国政府采购网（www.ccgp.gov.cn）查询并打印相应的信用记录（以下简称：“磋商响应供应商提供的查询结果”），磋商响应供应商提供的查询结果应为其通过上述网站获取的信用信息查询结果原始页面的打印件（或截图）。（2）查询结果的审查：①由磋商小组会通过上述网站查询并打印磋商响应供应商信用记录；②磋商响应供应商提供的查询结果与磋商小组的查询结果不一致的，以磋商小组的查询结果为准（查询结果作为评审过程资料存档）；③因上述网站原因导致磋商小组无法查询磋商响应供应商信用记录的，以磋商响应供应商提供的查询结果为准；④查询结果存在磋商响应供应商应被拒绝参与政府采购活动相关信息的，其资格审查不合格；（5）信用记录查询的具体办法及使用规则：在参加本项目采购活动前3年内在经营活动中有重大违法记录的供应商（“重大违法记录”指磋商响应供应商因违法经营受到刑事处罚或者责令停产停业、吊销许可证或者执照、较大数额罚款等行政处罚），以及被列入失信被执行人、重大税收违法案件当事人名单、政府采购严重违法失信行为记录名单、受到政府采购行政处罚（相关信用惩戒期限未满）或者存在行贿犯罪记录的磋商响应供应商，将被磋商小组认定为不合格供应商。</w:t>
            </w:r>
          </w:p>
        </w:tc>
        <w:tc>
          <w:tcPr>
            <w:tcW w:w="1312" w:type="dxa"/>
            <w:vAlign w:val="center"/>
          </w:tcPr>
          <w:p>
            <w:pPr>
              <w:spacing w:line="360" w:lineRule="auto"/>
              <w:jc w:val="center"/>
              <w:rPr>
                <w:rFonts w:ascii="宋体" w:hAnsi="宋体"/>
                <w:bCs/>
                <w:sz w:val="24"/>
              </w:rPr>
            </w:pPr>
          </w:p>
        </w:tc>
        <w:tc>
          <w:tcPr>
            <w:tcW w:w="837" w:type="dxa"/>
            <w:vAlign w:val="center"/>
          </w:tcPr>
          <w:p>
            <w:pPr>
              <w:spacing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Align w:val="center"/>
          </w:tcPr>
          <w:p>
            <w:pPr>
              <w:spacing w:line="360" w:lineRule="auto"/>
              <w:jc w:val="center"/>
              <w:rPr>
                <w:rFonts w:ascii="宋体" w:hAnsi="宋体"/>
                <w:bCs/>
                <w:sz w:val="24"/>
              </w:rPr>
            </w:pPr>
            <w:r>
              <w:rPr>
                <w:rFonts w:hint="eastAsia" w:ascii="宋体" w:hAnsi="宋体"/>
                <w:bCs/>
                <w:sz w:val="24"/>
              </w:rPr>
              <w:t>7</w:t>
            </w:r>
          </w:p>
        </w:tc>
        <w:tc>
          <w:tcPr>
            <w:tcW w:w="6807" w:type="dxa"/>
            <w:vAlign w:val="center"/>
          </w:tcPr>
          <w:p>
            <w:pPr>
              <w:pStyle w:val="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本项目不接受联合体形式的报价。</w:t>
            </w:r>
          </w:p>
        </w:tc>
        <w:tc>
          <w:tcPr>
            <w:tcW w:w="1312" w:type="dxa"/>
            <w:vAlign w:val="center"/>
          </w:tcPr>
          <w:p>
            <w:pPr>
              <w:spacing w:line="360" w:lineRule="auto"/>
              <w:jc w:val="center"/>
              <w:rPr>
                <w:rFonts w:ascii="宋体" w:hAnsi="宋体"/>
                <w:bCs/>
                <w:sz w:val="24"/>
              </w:rPr>
            </w:pPr>
          </w:p>
        </w:tc>
        <w:tc>
          <w:tcPr>
            <w:tcW w:w="837" w:type="dxa"/>
            <w:vAlign w:val="center"/>
          </w:tcPr>
          <w:p>
            <w:pPr>
              <w:spacing w:line="360" w:lineRule="auto"/>
              <w:jc w:val="center"/>
              <w:rPr>
                <w:rFonts w:ascii="宋体" w:hAnsi="宋体"/>
                <w:bCs/>
                <w:sz w:val="24"/>
              </w:rPr>
            </w:pPr>
          </w:p>
        </w:tc>
      </w:tr>
    </w:tbl>
    <w:p>
      <w:pPr>
        <w:jc w:val="center"/>
        <w:rPr>
          <w:rFonts w:hAnsi="宋体"/>
        </w:rPr>
        <w:sectPr>
          <w:pgSz w:w="11906" w:h="16838"/>
          <w:pgMar w:top="930" w:right="1179" w:bottom="38" w:left="1179" w:header="851" w:footer="992" w:gutter="0"/>
          <w:cols w:space="0" w:num="1"/>
          <w:docGrid w:type="lines" w:linePitch="312" w:charSpace="0"/>
        </w:sectPr>
      </w:pPr>
    </w:p>
    <w:p>
      <w:pPr>
        <w:jc w:val="center"/>
        <w:rPr>
          <w:b/>
          <w:sz w:val="36"/>
          <w:szCs w:val="36"/>
        </w:rPr>
      </w:pPr>
      <w:bookmarkStart w:id="72" w:name="_Toc185762844"/>
      <w:bookmarkStart w:id="73" w:name="_Toc185762843"/>
      <w:r>
        <w:rPr>
          <w:b/>
          <w:sz w:val="36"/>
          <w:szCs w:val="36"/>
        </w:rPr>
        <w:t>企业法人营业执照、税务登记证</w:t>
      </w:r>
      <w:bookmarkEnd w:id="72"/>
    </w:p>
    <w:p>
      <w:pPr>
        <w:spacing w:line="360" w:lineRule="auto"/>
        <w:rPr>
          <w:rFonts w:ascii="宋体" w:hAnsi="宋体"/>
        </w:rPr>
      </w:pPr>
    </w:p>
    <w:p>
      <w:pPr>
        <w:spacing w:line="360" w:lineRule="auto"/>
        <w:rPr>
          <w:rFonts w:ascii="宋体" w:hAnsi="宋体"/>
          <w:sz w:val="24"/>
        </w:rPr>
      </w:pPr>
      <w:r>
        <w:rPr>
          <w:rFonts w:hint="eastAsia" w:ascii="宋体" w:hAnsi="宋体"/>
          <w:sz w:val="24"/>
        </w:rPr>
        <w:t>福建精磊信工程管理有限公司：</w:t>
      </w:r>
    </w:p>
    <w:p>
      <w:pPr>
        <w:spacing w:line="360" w:lineRule="auto"/>
        <w:ind w:firstLine="480" w:firstLineChars="200"/>
        <w:rPr>
          <w:rFonts w:ascii="宋体" w:hAnsi="宋体" w:cs="宋体"/>
          <w:sz w:val="24"/>
        </w:rPr>
      </w:pPr>
      <w:r>
        <w:rPr>
          <w:rFonts w:hint="eastAsia" w:ascii="宋体" w:hAnsi="宋体" w:cs="宋体"/>
          <w:sz w:val="24"/>
        </w:rPr>
        <w:t>（ ）磋商响应供应商为法人（包括企业、事业单位和社会团体）的</w:t>
      </w:r>
    </w:p>
    <w:p>
      <w:pPr>
        <w:spacing w:line="360" w:lineRule="auto"/>
        <w:ind w:firstLine="480" w:firstLineChars="200"/>
        <w:rPr>
          <w:rFonts w:ascii="宋体" w:hAnsi="宋体" w:cs="宋体"/>
          <w:sz w:val="24"/>
        </w:rPr>
      </w:pPr>
      <w:r>
        <w:rPr>
          <w:rFonts w:hint="eastAsia" w:ascii="宋体" w:hAnsi="宋体" w:cs="宋体"/>
          <w:sz w:val="24"/>
        </w:rPr>
        <w:t>现附上由（填写“签发机关全称”）签发的我方统一社会信用代码（请填写法人的具体证照名称）复印件，该证明材料真实有效，否则我方负全部责任。</w:t>
      </w:r>
    </w:p>
    <w:p>
      <w:pPr>
        <w:spacing w:line="360" w:lineRule="auto"/>
        <w:ind w:firstLine="480" w:firstLineChars="200"/>
        <w:rPr>
          <w:rFonts w:ascii="宋体" w:hAnsi="宋体" w:cs="宋体"/>
          <w:sz w:val="24"/>
        </w:rPr>
      </w:pPr>
      <w:r>
        <w:rPr>
          <w:rFonts w:hint="eastAsia" w:ascii="宋体" w:hAnsi="宋体" w:cs="宋体"/>
          <w:sz w:val="24"/>
        </w:rPr>
        <w:t>（ ）磋商响应供应商为非法人（包括其他组织、自然人）的</w:t>
      </w:r>
    </w:p>
    <w:p>
      <w:pPr>
        <w:spacing w:line="360" w:lineRule="auto"/>
        <w:ind w:firstLine="480" w:firstLineChars="200"/>
        <w:rPr>
          <w:rFonts w:ascii="宋体" w:hAnsi="宋体" w:cs="宋体"/>
          <w:sz w:val="24"/>
        </w:rPr>
      </w:pPr>
      <w:r>
        <w:rPr>
          <w:rFonts w:hint="eastAsia" w:ascii="宋体" w:hAnsi="宋体" w:cs="宋体"/>
          <w:sz w:val="24"/>
        </w:rPr>
        <w:t>□现附上由（填写“签发机关全称”）签发的我方（请填写非自然人的非法人的具体证照名称）复印件，该证明材料真实有效，否则我方负全部责任。</w:t>
      </w:r>
    </w:p>
    <w:p>
      <w:pPr>
        <w:spacing w:line="360" w:lineRule="auto"/>
        <w:ind w:firstLine="480" w:firstLineChars="200"/>
        <w:rPr>
          <w:rFonts w:ascii="宋体" w:hAnsi="宋体" w:cs="宋体"/>
          <w:sz w:val="24"/>
        </w:rPr>
      </w:pPr>
      <w:r>
        <w:rPr>
          <w:rFonts w:hint="eastAsia" w:ascii="宋体" w:hAnsi="宋体" w:cs="宋体"/>
          <w:sz w:val="24"/>
        </w:rPr>
        <w:t>□现附上由（填写“签发机关全称”）签发的我方（请填写自然人的身份证件名称）复印件，该证明材料真实有效，否则我方负全部责任。</w:t>
      </w:r>
    </w:p>
    <w:p>
      <w:pPr>
        <w:spacing w:line="360" w:lineRule="auto"/>
        <w:rPr>
          <w:rFonts w:ascii="宋体" w:hAnsi="宋体" w:cs="宋体"/>
          <w:sz w:val="24"/>
        </w:rPr>
      </w:pPr>
      <w:r>
        <w:rPr>
          <w:rFonts w:hint="eastAsia" w:ascii="宋体" w:hAnsi="宋体" w:cs="宋体"/>
          <w:b/>
          <w:bCs/>
          <w:sz w:val="24"/>
        </w:rPr>
        <w:t>说明：</w:t>
      </w:r>
      <w:r>
        <w:rPr>
          <w:rFonts w:hint="eastAsia" w:ascii="宋体" w:hAnsi="宋体" w:cs="宋体"/>
          <w:sz w:val="24"/>
        </w:rPr>
        <w:t>1、请磋商响应供应商按照实际情况编制填写，在相应的（）中打“√”并选择相应的“□”（若有）后，再按照本格式的要求提供相应证明材料的复印件。</w:t>
      </w:r>
    </w:p>
    <w:p>
      <w:pPr>
        <w:spacing w:line="360" w:lineRule="auto"/>
        <w:ind w:firstLine="480" w:firstLineChars="200"/>
        <w:rPr>
          <w:rFonts w:ascii="宋体" w:hAnsi="宋体" w:cs="宋体"/>
          <w:sz w:val="24"/>
        </w:rPr>
      </w:pPr>
      <w:r>
        <w:rPr>
          <w:rFonts w:hint="eastAsia" w:ascii="宋体" w:hAnsi="宋体" w:cs="宋体"/>
          <w:sz w:val="24"/>
        </w:rPr>
        <w:t>2、磋商响应供应商为企业的，提供有效的营业执照复印件；磋商响应供应商为事业单位的，提供有效的事业单位法人证书复印件；磋商响应供应商为社会团体的，提供有效的社会团体法人登记证书复印件；磋商响应供应商为合伙企业、个体工商户的，提供有效的营业执照复印件；磋商响应供应商为非企业专业服务机构的，提供有效的执业许可证等证明材料复印件；磋商响应供应商为自然人的，提供有效的自然人身份证件复印件；其他磋商响应供应商应按照有关法律、法规和规章规定，提供有效的相应具体证照复印件。</w:t>
      </w:r>
    </w:p>
    <w:p>
      <w:pPr>
        <w:spacing w:line="360" w:lineRule="auto"/>
        <w:ind w:firstLine="480" w:firstLineChars="200"/>
        <w:rPr>
          <w:rFonts w:ascii="宋体" w:hAnsi="宋体" w:cs="宋体"/>
          <w:sz w:val="24"/>
        </w:rPr>
      </w:pPr>
      <w:r>
        <w:rPr>
          <w:rFonts w:hint="eastAsia" w:ascii="宋体" w:hAnsi="宋体" w:cs="宋体"/>
          <w:sz w:val="24"/>
        </w:rPr>
        <w:t>3、磋商响应供应商提供的相应证明材料复印件均应符合：内容完整、清晰、整洁，并由磋商响应供应商加盖其单位公章。</w:t>
      </w:r>
    </w:p>
    <w:p>
      <w:pPr>
        <w:spacing w:line="360" w:lineRule="auto"/>
        <w:rPr>
          <w:rFonts w:ascii="宋体" w:hAnsi="宋体"/>
          <w:sz w:val="21"/>
          <w:szCs w:val="21"/>
        </w:rPr>
      </w:pPr>
    </w:p>
    <w:p>
      <w:pPr>
        <w:spacing w:line="360" w:lineRule="auto"/>
        <w:ind w:firstLine="2730" w:firstLineChars="1300"/>
        <w:rPr>
          <w:rFonts w:ascii="宋体" w:hAnsi="宋体"/>
          <w:sz w:val="24"/>
        </w:rPr>
      </w:pPr>
      <w:r>
        <w:rPr>
          <w:rFonts w:hint="eastAsia" w:ascii="宋体" w:hAnsi="宋体"/>
          <w:sz w:val="21"/>
          <w:szCs w:val="21"/>
        </w:rPr>
        <w:t xml:space="preserve">    </w:t>
      </w:r>
      <w:r>
        <w:rPr>
          <w:rFonts w:hint="eastAsia" w:ascii="宋体" w:hAnsi="宋体"/>
          <w:sz w:val="24"/>
        </w:rPr>
        <w:t>磋商响应供应商全称（加盖公章）：</w:t>
      </w:r>
      <w:r>
        <w:rPr>
          <w:rFonts w:hint="eastAsia" w:ascii="宋体" w:hAnsi="宋体"/>
          <w:sz w:val="24"/>
          <w:u w:val="single"/>
        </w:rPr>
        <w:t xml:space="preserve">                </w:t>
      </w:r>
    </w:p>
    <w:p>
      <w:pPr>
        <w:spacing w:line="360" w:lineRule="auto"/>
        <w:ind w:firstLine="3120" w:firstLineChars="1300"/>
        <w:rPr>
          <w:rFonts w:ascii="宋体" w:hAnsi="宋体"/>
          <w:sz w:val="24"/>
          <w:u w:val="single"/>
        </w:rPr>
      </w:pPr>
      <w:r>
        <w:rPr>
          <w:rFonts w:hint="eastAsia" w:ascii="宋体" w:hAnsi="宋体"/>
          <w:sz w:val="24"/>
        </w:rPr>
        <w:t>磋商响应供应商代表签字：</w:t>
      </w:r>
      <w:r>
        <w:rPr>
          <w:rFonts w:hint="eastAsia" w:ascii="宋体" w:hAnsi="宋体"/>
          <w:sz w:val="24"/>
          <w:u w:val="single"/>
        </w:rPr>
        <w:t xml:space="preserve">                        </w:t>
      </w:r>
    </w:p>
    <w:p>
      <w:pPr>
        <w:spacing w:line="360" w:lineRule="auto"/>
        <w:ind w:firstLine="3120" w:firstLineChars="130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1"/>
          <w:szCs w:val="21"/>
        </w:rPr>
      </w:pPr>
    </w:p>
    <w:p>
      <w:pPr>
        <w:spacing w:line="360" w:lineRule="auto"/>
        <w:rPr>
          <w:rFonts w:ascii="宋体" w:hAnsi="宋体"/>
          <w:sz w:val="21"/>
          <w:szCs w:val="21"/>
        </w:rPr>
      </w:pPr>
    </w:p>
    <w:p>
      <w:pPr>
        <w:spacing w:line="360" w:lineRule="auto"/>
        <w:rPr>
          <w:rFonts w:ascii="宋体" w:hAnsi="宋体"/>
          <w:sz w:val="21"/>
          <w:szCs w:val="21"/>
        </w:rPr>
      </w:pPr>
    </w:p>
    <w:p>
      <w:pPr>
        <w:jc w:val="center"/>
        <w:rPr>
          <w:b/>
          <w:sz w:val="36"/>
          <w:szCs w:val="36"/>
        </w:rPr>
      </w:pPr>
    </w:p>
    <w:p>
      <w:pPr>
        <w:jc w:val="center"/>
        <w:rPr>
          <w:rFonts w:hAnsi="宋体"/>
        </w:rPr>
      </w:pPr>
      <w:r>
        <w:rPr>
          <w:b/>
          <w:sz w:val="36"/>
          <w:szCs w:val="36"/>
        </w:rPr>
        <w:t>授权书</w:t>
      </w:r>
      <w:bookmarkEnd w:id="73"/>
    </w:p>
    <w:p>
      <w:pPr>
        <w:pStyle w:val="29"/>
        <w:numPr>
          <w:ilvl w:val="0"/>
          <w:numId w:val="0"/>
        </w:numPr>
        <w:tabs>
          <w:tab w:val="left" w:pos="1260"/>
        </w:tabs>
        <w:adjustRightInd/>
        <w:spacing w:line="360" w:lineRule="auto"/>
        <w:outlineLvl w:val="9"/>
        <w:rPr>
          <w:rFonts w:ascii="宋体" w:hAnsi="宋体" w:eastAsia="宋体"/>
          <w:sz w:val="24"/>
          <w:szCs w:val="24"/>
        </w:rPr>
      </w:pPr>
    </w:p>
    <w:p>
      <w:pPr>
        <w:spacing w:line="360" w:lineRule="auto"/>
        <w:rPr>
          <w:rFonts w:ascii="宋体" w:hAnsi="宋体"/>
          <w:sz w:val="24"/>
        </w:rPr>
      </w:pPr>
      <w:r>
        <w:rPr>
          <w:rFonts w:hint="eastAsia" w:ascii="宋体" w:hAnsi="宋体"/>
          <w:sz w:val="24"/>
        </w:rPr>
        <w:t>福建精磊信工程管理有限公司：</w:t>
      </w:r>
    </w:p>
    <w:p>
      <w:pPr>
        <w:spacing w:line="360" w:lineRule="auto"/>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系我司员工，代表本司参与贵司组织的        项目（项目编号       ）磋商活动，全权代表本公司处理本项目的一切事宜，包括但不限于：递交响应文件、参与磋商、签署与项目相关的技术方案变更、服务承诺、报价等文件。磋商代表在磋商过程中所签署的一切文件和处理与之有关的一切事务，本司均予以认可并对此承担责任。磋商代表无转委托权。特此授权。</w:t>
      </w:r>
    </w:p>
    <w:p>
      <w:pPr>
        <w:spacing w:line="360" w:lineRule="auto"/>
        <w:rPr>
          <w:rFonts w:ascii="宋体" w:hAnsi="宋体"/>
          <w:sz w:val="24"/>
        </w:rPr>
      </w:pPr>
      <w:r>
        <w:rPr>
          <w:rFonts w:hint="eastAsia" w:ascii="宋体" w:hAnsi="宋体"/>
          <w:sz w:val="24"/>
        </w:rPr>
        <w:t>本授权书自出具之日起生效。</w:t>
      </w: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磋商响应供应商代表：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身份证号：</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单位：</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附：磋商代表身份证件复印件</w:t>
      </w:r>
    </w:p>
    <w:p>
      <w:pPr>
        <w:spacing w:line="360" w:lineRule="auto"/>
        <w:rPr>
          <w:rFonts w:ascii="宋体" w:hAnsi="宋体"/>
          <w:sz w:val="24"/>
        </w:rPr>
      </w:pPr>
    </w:p>
    <w:p>
      <w:pPr>
        <w:spacing w:line="360" w:lineRule="auto"/>
        <w:ind w:firstLine="4080" w:firstLineChars="1700"/>
        <w:rPr>
          <w:rFonts w:ascii="宋体" w:hAnsi="宋体"/>
          <w:sz w:val="24"/>
        </w:rPr>
      </w:pPr>
      <w:r>
        <w:rPr>
          <w:rFonts w:hint="eastAsia" w:ascii="宋体" w:hAnsi="宋体"/>
          <w:sz w:val="24"/>
        </w:rPr>
        <w:t>授权方</w:t>
      </w:r>
    </w:p>
    <w:p>
      <w:pPr>
        <w:spacing w:line="360" w:lineRule="auto"/>
        <w:ind w:firstLine="4080" w:firstLineChars="1700"/>
        <w:rPr>
          <w:rFonts w:ascii="宋体" w:hAnsi="宋体"/>
          <w:sz w:val="24"/>
        </w:rPr>
      </w:pPr>
      <w:r>
        <w:rPr>
          <w:rFonts w:hint="eastAsia" w:ascii="宋体" w:hAnsi="宋体"/>
          <w:sz w:val="24"/>
        </w:rPr>
        <w:t>磋商响应供应商全称（加盖公章）：</w:t>
      </w:r>
      <w:r>
        <w:rPr>
          <w:rFonts w:hint="eastAsia" w:ascii="宋体" w:hAnsi="宋体"/>
          <w:sz w:val="24"/>
          <w:u w:val="single"/>
        </w:rPr>
        <w:t xml:space="preserve">                    </w:t>
      </w:r>
    </w:p>
    <w:p>
      <w:pPr>
        <w:spacing w:line="360" w:lineRule="auto"/>
        <w:ind w:firstLine="4080" w:firstLineChars="1700"/>
        <w:rPr>
          <w:rFonts w:ascii="宋体" w:hAnsi="宋体"/>
          <w:sz w:val="24"/>
        </w:rPr>
      </w:pPr>
      <w:r>
        <w:rPr>
          <w:rFonts w:hint="eastAsia" w:ascii="宋体" w:hAnsi="宋体"/>
          <w:sz w:val="24"/>
        </w:rPr>
        <w:t>法定代表人签字：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ind w:firstLine="4080" w:firstLineChars="170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 xml:space="preserve"> 日</w:t>
      </w:r>
    </w:p>
    <w:p>
      <w:pPr>
        <w:spacing w:line="360" w:lineRule="auto"/>
        <w:rPr>
          <w:rFonts w:ascii="宋体" w:hAnsi="宋体"/>
          <w:sz w:val="24"/>
        </w:rPr>
      </w:pPr>
      <w:r>
        <w:rPr>
          <w:rFonts w:hint="eastAsia" w:ascii="宋体" w:hAnsi="宋体"/>
          <w:sz w:val="24"/>
        </w:rPr>
        <w:t xml:space="preserve">                </w:t>
      </w:r>
    </w:p>
    <w:p>
      <w:pPr>
        <w:spacing w:line="360" w:lineRule="auto"/>
        <w:ind w:firstLine="4080" w:firstLineChars="1700"/>
        <w:rPr>
          <w:rFonts w:ascii="宋体" w:hAnsi="宋体"/>
          <w:sz w:val="24"/>
        </w:rPr>
      </w:pPr>
      <w:r>
        <w:rPr>
          <w:rFonts w:hint="eastAsia" w:ascii="宋体" w:hAnsi="宋体"/>
          <w:sz w:val="24"/>
        </w:rPr>
        <w:t>接受授权方</w:t>
      </w:r>
    </w:p>
    <w:p>
      <w:pPr>
        <w:spacing w:line="360" w:lineRule="auto"/>
        <w:ind w:firstLine="4080" w:firstLineChars="1700"/>
        <w:rPr>
          <w:rFonts w:ascii="宋体" w:hAnsi="宋体"/>
          <w:sz w:val="24"/>
        </w:rPr>
      </w:pPr>
      <w:r>
        <w:rPr>
          <w:rFonts w:hint="eastAsia" w:ascii="宋体" w:hAnsi="宋体"/>
          <w:sz w:val="24"/>
        </w:rPr>
        <w:t>磋商响应供应商代表签字：</w:t>
      </w:r>
      <w:r>
        <w:rPr>
          <w:rFonts w:hint="eastAsia" w:ascii="宋体" w:hAnsi="宋体"/>
          <w:sz w:val="24"/>
          <w:u w:val="single"/>
        </w:rPr>
        <w:t xml:space="preserve">                </w:t>
      </w:r>
    </w:p>
    <w:p>
      <w:pPr>
        <w:ind w:firstLine="4080" w:firstLineChars="170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 xml:space="preserve"> 日</w:t>
      </w:r>
    </w:p>
    <w:p>
      <w:pPr>
        <w:spacing w:line="360" w:lineRule="auto"/>
        <w:rPr>
          <w:rFonts w:ascii="宋体" w:hAnsi="宋体"/>
          <w:sz w:val="21"/>
          <w:szCs w:val="21"/>
        </w:rPr>
      </w:pPr>
      <w:r>
        <w:rPr>
          <w:rFonts w:hAnsi="宋体"/>
          <w:sz w:val="24"/>
        </w:rPr>
        <w:br w:type="page"/>
      </w:r>
    </w:p>
    <w:p>
      <w:pPr>
        <w:jc w:val="center"/>
        <w:rPr>
          <w:b/>
          <w:sz w:val="36"/>
          <w:szCs w:val="36"/>
        </w:rPr>
      </w:pPr>
      <w:r>
        <w:rPr>
          <w:rFonts w:hint="eastAsia"/>
          <w:b/>
          <w:sz w:val="36"/>
          <w:szCs w:val="36"/>
        </w:rPr>
        <w:t>具备履行合同所必需的设备和专业技术能力的</w:t>
      </w:r>
    </w:p>
    <w:p>
      <w:pPr>
        <w:jc w:val="center"/>
        <w:rPr>
          <w:b/>
          <w:sz w:val="36"/>
          <w:szCs w:val="36"/>
        </w:rPr>
      </w:pPr>
      <w:r>
        <w:rPr>
          <w:rFonts w:hint="eastAsia"/>
          <w:b/>
          <w:sz w:val="36"/>
          <w:szCs w:val="36"/>
        </w:rPr>
        <w:t>书面声明</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福建精磊信工程管理有限公司：</w:t>
      </w:r>
    </w:p>
    <w:p>
      <w:pPr>
        <w:spacing w:line="360" w:lineRule="auto"/>
        <w:ind w:firstLine="960" w:firstLineChars="400"/>
        <w:rPr>
          <w:rFonts w:ascii="宋体" w:hAnsi="宋体"/>
          <w:sz w:val="24"/>
        </w:rPr>
      </w:pPr>
      <w:r>
        <w:rPr>
          <w:rFonts w:hint="eastAsia" w:ascii="宋体" w:hAnsi="宋体"/>
          <w:sz w:val="24"/>
        </w:rPr>
        <w:t>我司在此声明，若我司成交，我司具备履行合同所必需的设备和专业技术能力。</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spacing w:line="360" w:lineRule="auto"/>
        <w:ind w:firstLine="3120" w:firstLineChars="1300"/>
        <w:rPr>
          <w:rFonts w:ascii="宋体" w:hAnsi="宋体"/>
          <w:sz w:val="24"/>
        </w:rPr>
      </w:pPr>
      <w:r>
        <w:rPr>
          <w:rFonts w:hint="eastAsia" w:ascii="宋体" w:hAnsi="宋体"/>
          <w:sz w:val="24"/>
        </w:rPr>
        <w:t>磋商响应供应商全称（加盖公章）：</w:t>
      </w:r>
      <w:r>
        <w:rPr>
          <w:rFonts w:hint="eastAsia" w:ascii="宋体" w:hAnsi="宋体"/>
          <w:sz w:val="24"/>
          <w:u w:val="single"/>
        </w:rPr>
        <w:t xml:space="preserve">                </w:t>
      </w:r>
    </w:p>
    <w:p>
      <w:pPr>
        <w:spacing w:line="360" w:lineRule="auto"/>
        <w:ind w:firstLine="3120" w:firstLineChars="1300"/>
        <w:rPr>
          <w:rFonts w:ascii="宋体" w:hAnsi="宋体"/>
          <w:sz w:val="24"/>
          <w:u w:val="single"/>
        </w:rPr>
      </w:pPr>
      <w:r>
        <w:rPr>
          <w:rFonts w:hint="eastAsia" w:ascii="宋体" w:hAnsi="宋体"/>
          <w:sz w:val="24"/>
        </w:rPr>
        <w:t>磋商响应供应商代表签字：</w:t>
      </w:r>
      <w:r>
        <w:rPr>
          <w:rFonts w:hint="eastAsia" w:ascii="宋体" w:hAnsi="宋体"/>
          <w:sz w:val="24"/>
          <w:u w:val="single"/>
        </w:rPr>
        <w:t xml:space="preserve">                        </w:t>
      </w:r>
    </w:p>
    <w:p>
      <w:pPr>
        <w:spacing w:line="360" w:lineRule="auto"/>
        <w:ind w:firstLine="3120" w:firstLineChars="130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pStyle w:val="2"/>
      </w:pPr>
    </w:p>
    <w:p>
      <w:pPr>
        <w:tabs>
          <w:tab w:val="left" w:pos="1755"/>
          <w:tab w:val="center" w:pos="4593"/>
        </w:tabs>
        <w:jc w:val="center"/>
        <w:rPr>
          <w:b/>
          <w:sz w:val="36"/>
          <w:szCs w:val="36"/>
        </w:rPr>
      </w:pPr>
      <w:r>
        <w:rPr>
          <w:rFonts w:hint="eastAsia"/>
          <w:b/>
          <w:sz w:val="36"/>
          <w:szCs w:val="36"/>
        </w:rPr>
        <w:t>无重大违法记录的书面声明</w:t>
      </w:r>
    </w:p>
    <w:p>
      <w:pPr>
        <w:jc w:val="center"/>
        <w:rPr>
          <w:b/>
          <w:sz w:val="36"/>
          <w:szCs w:val="36"/>
        </w:rPr>
      </w:pPr>
    </w:p>
    <w:p>
      <w:pPr>
        <w:spacing w:line="360" w:lineRule="auto"/>
        <w:rPr>
          <w:rFonts w:ascii="宋体" w:hAnsi="宋体"/>
          <w:sz w:val="24"/>
        </w:rPr>
      </w:pPr>
      <w:r>
        <w:rPr>
          <w:rFonts w:hint="eastAsia" w:ascii="宋体" w:hAnsi="宋体"/>
          <w:sz w:val="24"/>
        </w:rPr>
        <w:t>福建精磊信工程管理有限公司：</w:t>
      </w:r>
    </w:p>
    <w:p>
      <w:pPr>
        <w:jc w:val="center"/>
        <w:rPr>
          <w:rFonts w:hAnsi="宋体"/>
          <w:sz w:val="24"/>
        </w:rPr>
      </w:pPr>
    </w:p>
    <w:p>
      <w:pPr>
        <w:ind w:firstLine="480" w:firstLineChars="200"/>
        <w:rPr>
          <w:rFonts w:ascii="宋体" w:hAnsi="宋体"/>
          <w:sz w:val="24"/>
        </w:rPr>
      </w:pPr>
      <w:r>
        <w:rPr>
          <w:rFonts w:hint="eastAsia" w:ascii="宋体" w:hAnsi="宋体"/>
          <w:sz w:val="24"/>
        </w:rPr>
        <w:t>我司在参加采购活动前3年内在经营活动中没有重大违法记录。</w:t>
      </w:r>
    </w:p>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特此书面声明。</w:t>
      </w:r>
    </w:p>
    <w:p>
      <w:pPr>
        <w:ind w:firstLine="480" w:firstLineChars="200"/>
        <w:rPr>
          <w:rFonts w:ascii="宋体" w:hAnsi="宋体"/>
          <w:sz w:val="24"/>
        </w:rPr>
      </w:pPr>
    </w:p>
    <w:p>
      <w:pPr>
        <w:rPr>
          <w:rFonts w:ascii="宋体" w:hAnsi="宋体"/>
          <w:sz w:val="24"/>
        </w:rPr>
      </w:pPr>
    </w:p>
    <w:p>
      <w:pPr>
        <w:spacing w:line="360" w:lineRule="auto"/>
        <w:ind w:firstLine="3120" w:firstLineChars="1300"/>
        <w:rPr>
          <w:rFonts w:ascii="宋体" w:hAnsi="宋体"/>
          <w:sz w:val="24"/>
        </w:rPr>
      </w:pPr>
      <w:r>
        <w:rPr>
          <w:rFonts w:hint="eastAsia" w:ascii="宋体" w:hAnsi="宋体"/>
          <w:sz w:val="24"/>
        </w:rPr>
        <w:t>磋商响应供应商全称（加盖公章）：</w:t>
      </w:r>
      <w:r>
        <w:rPr>
          <w:rFonts w:hint="eastAsia" w:ascii="宋体" w:hAnsi="宋体"/>
          <w:sz w:val="24"/>
          <w:u w:val="single"/>
        </w:rPr>
        <w:t xml:space="preserve">                </w:t>
      </w:r>
    </w:p>
    <w:p>
      <w:pPr>
        <w:spacing w:line="360" w:lineRule="auto"/>
        <w:ind w:firstLine="3120" w:firstLineChars="1300"/>
        <w:rPr>
          <w:rFonts w:ascii="宋体" w:hAnsi="宋体"/>
          <w:sz w:val="24"/>
          <w:u w:val="single"/>
        </w:rPr>
      </w:pPr>
      <w:r>
        <w:rPr>
          <w:rFonts w:hint="eastAsia" w:ascii="宋体" w:hAnsi="宋体"/>
          <w:sz w:val="24"/>
        </w:rPr>
        <w:t>磋商响应供应商代表签字：</w:t>
      </w:r>
      <w:r>
        <w:rPr>
          <w:rFonts w:hint="eastAsia" w:ascii="宋体" w:hAnsi="宋体"/>
          <w:sz w:val="24"/>
          <w:u w:val="single"/>
        </w:rPr>
        <w:t xml:space="preserve">                        </w:t>
      </w:r>
    </w:p>
    <w:p>
      <w:pPr>
        <w:ind w:firstLine="3120" w:firstLineChars="1300"/>
        <w:rPr>
          <w:b/>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ind w:firstLine="480" w:firstLineChars="200"/>
        <w:rPr>
          <w:rFonts w:ascii="宋体" w:hAnsi="宋体"/>
          <w:sz w:val="24"/>
        </w:rPr>
      </w:pPr>
    </w:p>
    <w:p>
      <w:pPr>
        <w:tabs>
          <w:tab w:val="left" w:pos="1755"/>
          <w:tab w:val="center" w:pos="4593"/>
        </w:tabs>
        <w:jc w:val="center"/>
        <w:rPr>
          <w:b/>
          <w:sz w:val="36"/>
          <w:szCs w:val="36"/>
        </w:rPr>
      </w:pPr>
      <w:bookmarkStart w:id="74" w:name="_Toc7118"/>
    </w:p>
    <w:p>
      <w:pPr>
        <w:tabs>
          <w:tab w:val="left" w:pos="1755"/>
          <w:tab w:val="center" w:pos="4593"/>
        </w:tabs>
        <w:jc w:val="center"/>
        <w:rPr>
          <w:b/>
          <w:sz w:val="36"/>
          <w:szCs w:val="36"/>
        </w:rPr>
      </w:pPr>
    </w:p>
    <w:p>
      <w:pPr>
        <w:tabs>
          <w:tab w:val="left" w:pos="1755"/>
          <w:tab w:val="center" w:pos="4593"/>
        </w:tabs>
        <w:jc w:val="center"/>
        <w:rPr>
          <w:b/>
          <w:sz w:val="36"/>
          <w:szCs w:val="36"/>
        </w:rPr>
      </w:pPr>
    </w:p>
    <w:p>
      <w:pPr>
        <w:tabs>
          <w:tab w:val="left" w:pos="1755"/>
          <w:tab w:val="center" w:pos="4593"/>
        </w:tabs>
        <w:jc w:val="center"/>
        <w:rPr>
          <w:b/>
          <w:sz w:val="36"/>
          <w:szCs w:val="36"/>
        </w:rPr>
      </w:pPr>
    </w:p>
    <w:p>
      <w:pPr>
        <w:tabs>
          <w:tab w:val="left" w:pos="1755"/>
          <w:tab w:val="center" w:pos="4593"/>
        </w:tabs>
        <w:jc w:val="center"/>
        <w:rPr>
          <w:b/>
          <w:sz w:val="36"/>
          <w:szCs w:val="36"/>
        </w:rPr>
      </w:pPr>
      <w:r>
        <w:rPr>
          <w:rFonts w:hint="eastAsia"/>
          <w:b/>
          <w:sz w:val="36"/>
          <w:szCs w:val="36"/>
        </w:rPr>
        <w:t>没有行贿犯罪记录的书面声明</w:t>
      </w:r>
      <w:bookmarkEnd w:id="74"/>
    </w:p>
    <w:p>
      <w:pPr>
        <w:jc w:val="center"/>
        <w:rPr>
          <w:b/>
          <w:sz w:val="36"/>
          <w:szCs w:val="36"/>
        </w:rPr>
      </w:pPr>
    </w:p>
    <w:p>
      <w:pPr>
        <w:spacing w:line="360" w:lineRule="auto"/>
        <w:rPr>
          <w:rFonts w:ascii="宋体" w:hAnsi="宋体"/>
          <w:sz w:val="24"/>
        </w:rPr>
      </w:pPr>
      <w:r>
        <w:rPr>
          <w:rFonts w:hint="eastAsia" w:ascii="宋体" w:hAnsi="宋体"/>
          <w:sz w:val="24"/>
        </w:rPr>
        <w:t>福建精磊信工程管理有限公司：</w:t>
      </w:r>
    </w:p>
    <w:p>
      <w:pPr>
        <w:spacing w:line="360" w:lineRule="auto"/>
        <w:ind w:firstLine="480" w:firstLineChars="200"/>
        <w:rPr>
          <w:rFonts w:ascii="宋体" w:hAnsi="宋体"/>
          <w:sz w:val="24"/>
        </w:rPr>
      </w:pPr>
      <w:r>
        <w:rPr>
          <w:rFonts w:hint="eastAsia" w:ascii="宋体" w:hAnsi="宋体"/>
          <w:sz w:val="24"/>
        </w:rPr>
        <w:t>我司在参加政府采购活动前3年内在经营活动中没有行贿犯罪记录。</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特此书面声明。</w:t>
      </w:r>
    </w:p>
    <w:p>
      <w:pPr>
        <w:pStyle w:val="2"/>
        <w:rPr>
          <w:rFonts w:ascii="宋体" w:hAnsi="宋体"/>
          <w:sz w:val="24"/>
        </w:rPr>
      </w:pPr>
    </w:p>
    <w:p>
      <w:pPr>
        <w:pStyle w:val="3"/>
      </w:pPr>
    </w:p>
    <w:p>
      <w:pPr>
        <w:spacing w:line="360" w:lineRule="auto"/>
        <w:ind w:firstLine="3120" w:firstLineChars="1300"/>
        <w:rPr>
          <w:rFonts w:ascii="宋体" w:hAnsi="宋体"/>
          <w:sz w:val="24"/>
        </w:rPr>
      </w:pPr>
      <w:r>
        <w:rPr>
          <w:rFonts w:hint="eastAsia" w:ascii="宋体" w:hAnsi="宋体"/>
          <w:sz w:val="24"/>
        </w:rPr>
        <w:t>磋商响应供应商全称（加盖公章）：</w:t>
      </w:r>
      <w:r>
        <w:rPr>
          <w:rFonts w:hint="eastAsia" w:ascii="宋体" w:hAnsi="宋体"/>
          <w:sz w:val="24"/>
          <w:u w:val="single"/>
        </w:rPr>
        <w:t xml:space="preserve">                </w:t>
      </w:r>
    </w:p>
    <w:p>
      <w:pPr>
        <w:spacing w:line="360" w:lineRule="auto"/>
        <w:ind w:firstLine="3120" w:firstLineChars="1300"/>
        <w:rPr>
          <w:rFonts w:ascii="宋体" w:hAnsi="宋体"/>
          <w:sz w:val="24"/>
          <w:u w:val="single"/>
        </w:rPr>
      </w:pPr>
      <w:r>
        <w:rPr>
          <w:rFonts w:hint="eastAsia" w:ascii="宋体" w:hAnsi="宋体"/>
          <w:sz w:val="24"/>
        </w:rPr>
        <w:t>磋商响应供应商代表签字：</w:t>
      </w:r>
      <w:r>
        <w:rPr>
          <w:rFonts w:hint="eastAsia" w:ascii="宋体" w:hAnsi="宋体"/>
          <w:sz w:val="24"/>
          <w:u w:val="single"/>
        </w:rPr>
        <w:t xml:space="preserve">                        </w:t>
      </w:r>
    </w:p>
    <w:p>
      <w:pPr>
        <w:ind w:firstLine="3120" w:firstLineChars="1300"/>
        <w:rPr>
          <w:b/>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1"/>
          <w:szCs w:val="21"/>
        </w:rPr>
      </w:pPr>
    </w:p>
    <w:p>
      <w:pPr>
        <w:spacing w:line="360" w:lineRule="auto"/>
        <w:rPr>
          <w:rFonts w:ascii="宋体" w:hAnsi="宋体"/>
          <w:sz w:val="21"/>
          <w:szCs w:val="21"/>
        </w:rPr>
      </w:pPr>
    </w:p>
    <w:p>
      <w:pPr>
        <w:pStyle w:val="19"/>
        <w:jc w:val="center"/>
        <w:rPr>
          <w:rFonts w:ascii="Times New Roman" w:hAnsi="Times New Roman"/>
          <w:b/>
          <w:kern w:val="2"/>
          <w:sz w:val="36"/>
          <w:szCs w:val="36"/>
        </w:rPr>
      </w:pPr>
      <w:bookmarkStart w:id="75" w:name="_Toc29647"/>
    </w:p>
    <w:p>
      <w:pPr>
        <w:pStyle w:val="19"/>
        <w:jc w:val="center"/>
        <w:rPr>
          <w:rFonts w:ascii="Times New Roman" w:hAnsi="Times New Roman"/>
          <w:b/>
          <w:kern w:val="2"/>
          <w:sz w:val="36"/>
          <w:szCs w:val="36"/>
        </w:rPr>
      </w:pPr>
    </w:p>
    <w:p>
      <w:pPr>
        <w:pStyle w:val="19"/>
        <w:jc w:val="center"/>
        <w:rPr>
          <w:rFonts w:ascii="Times New Roman" w:hAnsi="Times New Roman"/>
          <w:b/>
          <w:kern w:val="2"/>
          <w:sz w:val="36"/>
          <w:szCs w:val="36"/>
        </w:rPr>
      </w:pPr>
    </w:p>
    <w:p>
      <w:pPr>
        <w:pStyle w:val="19"/>
        <w:jc w:val="center"/>
        <w:rPr>
          <w:rFonts w:ascii="Times New Roman" w:hAnsi="Times New Roman"/>
          <w:b/>
          <w:kern w:val="2"/>
          <w:sz w:val="36"/>
          <w:szCs w:val="36"/>
        </w:rPr>
      </w:pPr>
    </w:p>
    <w:p>
      <w:pPr>
        <w:pStyle w:val="19"/>
        <w:jc w:val="center"/>
        <w:rPr>
          <w:rFonts w:ascii="Times New Roman" w:hAnsi="Times New Roman"/>
          <w:b/>
          <w:kern w:val="2"/>
          <w:sz w:val="36"/>
          <w:szCs w:val="36"/>
        </w:rPr>
      </w:pPr>
    </w:p>
    <w:p>
      <w:pPr>
        <w:pStyle w:val="19"/>
        <w:jc w:val="center"/>
        <w:rPr>
          <w:rFonts w:ascii="Times New Roman" w:hAnsi="Times New Roman"/>
          <w:b/>
          <w:kern w:val="2"/>
          <w:sz w:val="36"/>
          <w:szCs w:val="36"/>
        </w:rPr>
      </w:pPr>
    </w:p>
    <w:p>
      <w:pPr>
        <w:pStyle w:val="19"/>
        <w:jc w:val="center"/>
        <w:rPr>
          <w:rFonts w:ascii="Times New Roman" w:hAnsi="Times New Roman"/>
          <w:b/>
          <w:kern w:val="2"/>
          <w:sz w:val="36"/>
          <w:szCs w:val="36"/>
        </w:rPr>
      </w:pPr>
    </w:p>
    <w:p>
      <w:pPr>
        <w:pStyle w:val="19"/>
        <w:jc w:val="center"/>
        <w:rPr>
          <w:rFonts w:ascii="Times New Roman" w:hAnsi="Times New Roman"/>
          <w:b/>
          <w:kern w:val="2"/>
          <w:sz w:val="36"/>
          <w:szCs w:val="36"/>
        </w:rPr>
      </w:pPr>
    </w:p>
    <w:p>
      <w:pPr>
        <w:pStyle w:val="19"/>
        <w:jc w:val="center"/>
        <w:rPr>
          <w:rFonts w:ascii="Times New Roman" w:hAnsi="Times New Roman"/>
          <w:b/>
          <w:kern w:val="2"/>
          <w:sz w:val="36"/>
          <w:szCs w:val="36"/>
        </w:rPr>
      </w:pPr>
    </w:p>
    <w:p>
      <w:pPr>
        <w:pStyle w:val="19"/>
        <w:jc w:val="center"/>
        <w:rPr>
          <w:rFonts w:ascii="Times New Roman" w:hAnsi="Times New Roman"/>
          <w:b/>
          <w:kern w:val="2"/>
          <w:sz w:val="36"/>
          <w:szCs w:val="36"/>
        </w:rPr>
      </w:pPr>
    </w:p>
    <w:p>
      <w:pPr>
        <w:pStyle w:val="19"/>
        <w:jc w:val="center"/>
      </w:pPr>
      <w:r>
        <w:rPr>
          <w:rFonts w:hint="eastAsia" w:ascii="Times New Roman" w:hAnsi="Times New Roman"/>
          <w:b/>
          <w:kern w:val="2"/>
          <w:sz w:val="36"/>
          <w:szCs w:val="36"/>
        </w:rPr>
        <w:t>信用记录查询结果</w:t>
      </w:r>
      <w:bookmarkEnd w:id="75"/>
    </w:p>
    <w:p>
      <w:pPr>
        <w:spacing w:line="360" w:lineRule="auto"/>
        <w:rPr>
          <w:rFonts w:ascii="宋体" w:hAnsi="宋体"/>
          <w:sz w:val="24"/>
        </w:rPr>
      </w:pPr>
      <w:r>
        <w:rPr>
          <w:rFonts w:hint="eastAsia" w:ascii="宋体" w:hAnsi="宋体"/>
          <w:sz w:val="24"/>
        </w:rPr>
        <w:t>福建精磊信工程管理有限公司：</w:t>
      </w:r>
    </w:p>
    <w:p>
      <w:pPr>
        <w:pStyle w:val="19"/>
        <w:widowControl/>
        <w:wordWrap w:val="0"/>
        <w:topLinePunct/>
        <w:spacing w:line="360" w:lineRule="auto"/>
        <w:ind w:firstLine="480" w:firstLineChars="200"/>
      </w:pPr>
      <w:r>
        <w:rPr>
          <w:rFonts w:hint="eastAsia"/>
        </w:rPr>
        <w:t>现附上截至</w:t>
      </w:r>
      <w:r>
        <w:rPr>
          <w:rFonts w:hint="eastAsia"/>
          <w:u w:val="single"/>
        </w:rPr>
        <w:t>        </w:t>
      </w:r>
      <w:r>
        <w:rPr>
          <w:rFonts w:hint="eastAsia"/>
        </w:rPr>
        <w:t>年</w:t>
      </w:r>
      <w:r>
        <w:rPr>
          <w:rFonts w:hint="eastAsia"/>
          <w:u w:val="single"/>
        </w:rPr>
        <w:t>     </w:t>
      </w:r>
      <w:r>
        <w:rPr>
          <w:rFonts w:hint="eastAsia"/>
        </w:rPr>
        <w:t xml:space="preserve">月 </w:t>
      </w:r>
      <w:r>
        <w:rPr>
          <w:rFonts w:hint="eastAsia"/>
          <w:u w:val="single"/>
        </w:rPr>
        <w:t>     </w:t>
      </w:r>
      <w:r>
        <w:rPr>
          <w:rFonts w:hint="eastAsia"/>
        </w:rPr>
        <w:t>日</w:t>
      </w:r>
      <w:r>
        <w:rPr>
          <w:rFonts w:hint="eastAsia"/>
          <w:u w:val="single"/>
        </w:rPr>
        <w:t xml:space="preserve">     </w:t>
      </w:r>
      <w:r>
        <w:rPr>
          <w:rFonts w:hint="eastAsia"/>
        </w:rPr>
        <w:t>时我方通过</w:t>
      </w:r>
      <w:r>
        <w:rPr>
          <w:rFonts w:hint="eastAsia" w:ascii="宋体" w:hAnsi="宋体"/>
        </w:rPr>
        <w:t>“信用厦门”网址（</w:t>
      </w:r>
      <w:r>
        <w:rPr>
          <w:rFonts w:ascii="宋体" w:hAnsi="宋体"/>
        </w:rPr>
        <w:t>http://credit.xm.gov.cn/</w:t>
      </w:r>
      <w:r>
        <w:rPr>
          <w:rFonts w:hint="eastAsia" w:ascii="宋体" w:hAnsi="宋体"/>
        </w:rPr>
        <w:t>）</w:t>
      </w:r>
      <w:r>
        <w:rPr>
          <w:rFonts w:hint="eastAsia" w:ascii="宋体" w:hAnsi="宋体" w:cs="宋体"/>
        </w:rPr>
        <w:t>获</w:t>
      </w:r>
      <w:r>
        <w:rPr>
          <w:rFonts w:hint="eastAsia"/>
        </w:rPr>
        <w:t>取的我方信用信息查询结果</w:t>
      </w:r>
      <w:r>
        <w:rPr>
          <w:rFonts w:hint="eastAsia"/>
          <w:u w:val="single"/>
        </w:rPr>
        <w:t>（填写具体份数）</w:t>
      </w:r>
      <w:r>
        <w:rPr>
          <w:rFonts w:hint="eastAsia"/>
        </w:rPr>
        <w:t>份</w:t>
      </w:r>
      <w:r>
        <w:rPr>
          <w:rFonts w:hint="eastAsia" w:ascii="宋体" w:hAnsi="宋体"/>
        </w:rPr>
        <w:t>、</w:t>
      </w:r>
      <w:r>
        <w:rPr>
          <w:rFonts w:hint="eastAsia"/>
        </w:rPr>
        <w:t>“信用中国”网站</w:t>
      </w:r>
      <w:r>
        <w:rPr>
          <w:rFonts w:hint="eastAsia" w:ascii="宋体" w:hAnsi="宋体" w:cs="宋体"/>
        </w:rPr>
        <w:t>（www.creditchina.gov.cn）获</w:t>
      </w:r>
      <w:r>
        <w:rPr>
          <w:rFonts w:hint="eastAsia"/>
        </w:rPr>
        <w:t>取的我方信用信息查询结果</w:t>
      </w:r>
      <w:r>
        <w:rPr>
          <w:rFonts w:hint="eastAsia"/>
          <w:u w:val="single"/>
        </w:rPr>
        <w:t>（填写具体份数）</w:t>
      </w:r>
      <w:r>
        <w:rPr>
          <w:rFonts w:hint="eastAsia"/>
        </w:rPr>
        <w:t>份、通过中国政府采购网（www.ccgp.gov.cn）获取的我方信用信息查询结果</w:t>
      </w:r>
      <w:r>
        <w:rPr>
          <w:rFonts w:hint="eastAsia"/>
          <w:u w:val="single"/>
        </w:rPr>
        <w:t>（填写具体份数）</w:t>
      </w:r>
      <w:r>
        <w:rPr>
          <w:rFonts w:hint="eastAsia"/>
        </w:rPr>
        <w:t>份，上述信用信息查询结果真实有效，否则我方负全部责任。</w:t>
      </w:r>
    </w:p>
    <w:p>
      <w:pPr>
        <w:pStyle w:val="19"/>
      </w:pPr>
      <w:r>
        <w:rPr>
          <w:rFonts w:cs="Calibri"/>
        </w:rPr>
        <w:t> </w:t>
      </w:r>
    </w:p>
    <w:p>
      <w:pPr>
        <w:pStyle w:val="19"/>
      </w:pPr>
      <w:r>
        <w:rPr>
          <w:rFonts w:hint="eastAsia"/>
        </w:rPr>
        <w:t>说明：</w:t>
      </w:r>
    </w:p>
    <w:p>
      <w:pPr>
        <w:rPr>
          <w:sz w:val="24"/>
        </w:rPr>
      </w:pPr>
      <w:r>
        <w:rPr>
          <w:rFonts w:hint="eastAsia" w:ascii="宋体" w:hAnsi="宋体"/>
          <w:sz w:val="24"/>
        </w:rPr>
        <w:t>磋商响应供应商</w:t>
      </w:r>
      <w:r>
        <w:rPr>
          <w:rFonts w:hint="eastAsia" w:ascii="宋体" w:hAnsi="宋体" w:cs="宋体"/>
          <w:sz w:val="24"/>
        </w:rPr>
        <w:t>应在采购文件要求的截止时点前分别通过</w:t>
      </w:r>
      <w:r>
        <w:rPr>
          <w:rFonts w:hint="eastAsia" w:ascii="宋体" w:hAnsi="宋体"/>
          <w:sz w:val="24"/>
        </w:rPr>
        <w:t>“信用厦门”网址（</w:t>
      </w:r>
      <w:r>
        <w:rPr>
          <w:rFonts w:ascii="宋体" w:hAnsi="宋体"/>
          <w:sz w:val="24"/>
        </w:rPr>
        <w:t>http://credit.xm.gov.cn/</w:t>
      </w:r>
      <w:r>
        <w:rPr>
          <w:rFonts w:hint="eastAsia" w:ascii="宋体" w:hAnsi="宋体"/>
          <w:sz w:val="24"/>
        </w:rPr>
        <w:t>）</w:t>
      </w:r>
      <w:r>
        <w:rPr>
          <w:rFonts w:hint="eastAsia"/>
          <w:sz w:val="24"/>
        </w:rPr>
        <w:t>、</w:t>
      </w:r>
      <w:r>
        <w:rPr>
          <w:rFonts w:hint="eastAsia" w:ascii="宋体" w:hAnsi="宋体" w:cs="宋体"/>
          <w:sz w:val="24"/>
        </w:rPr>
        <w:t>“信用中国”网站（www.creditchina.gov.cn）、中国政府采购网（www.ccgp.gov.cn）查询并打印相应的信用记录，</w:t>
      </w:r>
      <w:r>
        <w:rPr>
          <w:rFonts w:hint="eastAsia" w:ascii="宋体" w:hAnsi="宋体"/>
          <w:sz w:val="24"/>
        </w:rPr>
        <w:t>磋商响应供应商</w:t>
      </w:r>
      <w:r>
        <w:rPr>
          <w:rFonts w:hint="eastAsia" w:ascii="宋体" w:hAnsi="宋体" w:cs="宋体"/>
          <w:sz w:val="24"/>
        </w:rPr>
        <w:t>提供的查询结果应为其通过上述网站获取的信用信息查询结果原始</w:t>
      </w:r>
      <w:r>
        <w:rPr>
          <w:rFonts w:hint="eastAsia"/>
          <w:sz w:val="24"/>
        </w:rPr>
        <w:t>页面的打印件（或截图）。</w:t>
      </w:r>
    </w:p>
    <w:p>
      <w:pPr>
        <w:jc w:val="center"/>
        <w:rPr>
          <w:b/>
          <w:sz w:val="36"/>
          <w:szCs w:val="36"/>
        </w:rPr>
      </w:pPr>
    </w:p>
    <w:p>
      <w:pPr>
        <w:jc w:val="center"/>
        <w:rPr>
          <w:b/>
          <w:sz w:val="36"/>
          <w:szCs w:val="36"/>
        </w:rPr>
      </w:pPr>
    </w:p>
    <w:p>
      <w:pPr>
        <w:spacing w:line="360" w:lineRule="auto"/>
        <w:ind w:firstLine="3120" w:firstLineChars="1300"/>
        <w:rPr>
          <w:rFonts w:ascii="宋体" w:hAnsi="宋体"/>
          <w:sz w:val="24"/>
        </w:rPr>
      </w:pPr>
      <w:r>
        <w:rPr>
          <w:rFonts w:hint="eastAsia" w:ascii="宋体" w:hAnsi="宋体"/>
          <w:sz w:val="24"/>
        </w:rPr>
        <w:t>磋商响应供应商全称（加盖公章）：</w:t>
      </w:r>
      <w:r>
        <w:rPr>
          <w:rFonts w:hint="eastAsia" w:ascii="宋体" w:hAnsi="宋体"/>
          <w:sz w:val="24"/>
          <w:u w:val="single"/>
        </w:rPr>
        <w:t xml:space="preserve">                </w:t>
      </w:r>
    </w:p>
    <w:p>
      <w:pPr>
        <w:spacing w:line="360" w:lineRule="auto"/>
        <w:ind w:firstLine="3120" w:firstLineChars="1300"/>
        <w:rPr>
          <w:rFonts w:ascii="宋体" w:hAnsi="宋体"/>
          <w:sz w:val="24"/>
          <w:u w:val="single"/>
        </w:rPr>
      </w:pPr>
      <w:r>
        <w:rPr>
          <w:rFonts w:hint="eastAsia" w:ascii="宋体" w:hAnsi="宋体"/>
          <w:sz w:val="24"/>
        </w:rPr>
        <w:t>磋商响应供应商代表签字：</w:t>
      </w:r>
      <w:r>
        <w:rPr>
          <w:rFonts w:hint="eastAsia" w:ascii="宋体" w:hAnsi="宋体"/>
          <w:sz w:val="24"/>
          <w:u w:val="single"/>
        </w:rPr>
        <w:t xml:space="preserve">                        </w:t>
      </w:r>
    </w:p>
    <w:p>
      <w:pPr>
        <w:jc w:val="center"/>
        <w:rPr>
          <w:b/>
          <w:sz w:val="36"/>
          <w:szCs w:val="36"/>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rPr>
        <w:t>磋商响应供应商提交的其它资料</w:t>
      </w:r>
    </w:p>
    <w:p>
      <w:pPr>
        <w:spacing w:line="360" w:lineRule="auto"/>
        <w:rPr>
          <w:rFonts w:ascii="宋体" w:hAnsi="宋体"/>
          <w:b/>
          <w:sz w:val="36"/>
        </w:rPr>
      </w:pPr>
      <w:r>
        <w:rPr>
          <w:rFonts w:ascii="宋体" w:hAnsi="宋体"/>
          <w:b/>
          <w:sz w:val="36"/>
        </w:rPr>
        <w:t xml:space="preserve"> </w:t>
      </w:r>
      <w:r>
        <w:rPr>
          <w:rFonts w:hint="eastAsia" w:ascii="宋体" w:hAnsi="宋体"/>
          <w:b/>
          <w:sz w:val="36"/>
        </w:rPr>
        <w:t xml:space="preserve">  </w:t>
      </w:r>
    </w:p>
    <w:p>
      <w:pPr>
        <w:spacing w:line="360" w:lineRule="auto"/>
        <w:ind w:firstLine="480" w:firstLineChars="200"/>
        <w:rPr>
          <w:rFonts w:ascii="宋体" w:hAnsi="宋体"/>
          <w:b/>
          <w:bCs/>
          <w:sz w:val="24"/>
        </w:rPr>
      </w:pPr>
      <w:r>
        <w:rPr>
          <w:rFonts w:hint="eastAsia" w:ascii="宋体" w:hAnsi="宋体"/>
          <w:sz w:val="24"/>
        </w:rPr>
        <w:t>磋商响应供应商认为应提交的其他材料， 可在此附件中提交。</w:t>
      </w:r>
    </w:p>
    <w:p>
      <w:pPr>
        <w:spacing w:line="360" w:lineRule="auto"/>
        <w:rPr>
          <w:rFonts w:ascii="宋体" w:hAnsi="宋体"/>
          <w:sz w:val="24"/>
        </w:rPr>
      </w:pPr>
    </w:p>
    <w:p>
      <w:pPr>
        <w:spacing w:line="360" w:lineRule="auto"/>
        <w:rPr>
          <w:rFonts w:ascii="宋体" w:hAnsi="宋体"/>
          <w:sz w:val="24"/>
        </w:rPr>
      </w:pPr>
    </w:p>
    <w:p>
      <w:pPr>
        <w:spacing w:line="360" w:lineRule="auto"/>
        <w:ind w:firstLine="3360" w:firstLineChars="1400"/>
        <w:rPr>
          <w:rFonts w:ascii="宋体" w:hAnsi="宋体"/>
          <w:sz w:val="24"/>
          <w:u w:val="single"/>
        </w:rPr>
      </w:pPr>
      <w:r>
        <w:rPr>
          <w:rFonts w:hint="eastAsia" w:ascii="宋体" w:hAnsi="宋体"/>
          <w:sz w:val="24"/>
        </w:rPr>
        <w:t xml:space="preserve">磋商响应供应商全称（加盖公章）： </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磋商响应供应商代表签字：</w:t>
      </w:r>
      <w:r>
        <w:rPr>
          <w:rFonts w:hint="eastAsia" w:ascii="宋体" w:hAnsi="宋体"/>
          <w:sz w:val="24"/>
          <w:u w:val="single"/>
        </w:rPr>
        <w:t xml:space="preserve">                         </w:t>
      </w:r>
    </w:p>
    <w:p>
      <w:pPr>
        <w:spacing w:line="360" w:lineRule="auto"/>
        <w:ind w:firstLine="3360" w:firstLineChars="1400"/>
        <w:rPr>
          <w:rFonts w:ascii="宋体" w:hAnsi="宋体"/>
          <w:sz w:val="24"/>
          <w:u w:val="single"/>
        </w:rPr>
      </w:pPr>
      <w:r>
        <w:rPr>
          <w:rFonts w:hint="eastAsia" w:ascii="宋体" w:hAnsi="宋体"/>
          <w:sz w:val="24"/>
        </w:rPr>
        <w:t>邮 编：</w:t>
      </w:r>
      <w:r>
        <w:rPr>
          <w:rFonts w:hint="eastAsia" w:ascii="宋体" w:hAnsi="宋体"/>
          <w:sz w:val="24"/>
          <w:u w:val="single"/>
        </w:rPr>
        <w:t xml:space="preserve">           </w:t>
      </w:r>
      <w:r>
        <w:rPr>
          <w:rFonts w:hint="eastAsia" w:ascii="宋体" w:hAnsi="宋体"/>
          <w:sz w:val="24"/>
        </w:rPr>
        <w:t>电 话：</w:t>
      </w:r>
      <w:r>
        <w:rPr>
          <w:rFonts w:hint="eastAsia" w:ascii="宋体" w:hAnsi="宋体"/>
          <w:sz w:val="24"/>
          <w:u w:val="single"/>
        </w:rPr>
        <w:t xml:space="preserve">          </w:t>
      </w:r>
    </w:p>
    <w:p>
      <w:pPr>
        <w:spacing w:line="360" w:lineRule="auto"/>
        <w:rPr>
          <w:rFonts w:ascii="宋体" w:hAnsi="宋体"/>
          <w:sz w:val="21"/>
          <w:szCs w:val="21"/>
          <w:u w:val="single"/>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传 真：</w:t>
      </w:r>
      <w:r>
        <w:rPr>
          <w:rFonts w:hint="eastAsia" w:ascii="宋体" w:hAnsi="宋体"/>
          <w:sz w:val="24"/>
          <w:u w:val="single"/>
        </w:rPr>
        <w:t xml:space="preserve">           </w:t>
      </w: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1"/>
          <w:szCs w:val="21"/>
          <w:u w:val="single"/>
        </w:rPr>
        <w:t xml:space="preserve"> </w:t>
      </w:r>
    </w:p>
    <w:p>
      <w:pPr>
        <w:spacing w:line="360" w:lineRule="auto"/>
        <w:jc w:val="center"/>
        <w:rPr>
          <w:rFonts w:ascii="宋体" w:hAnsi="宋体"/>
          <w:b/>
          <w:bCs/>
          <w:sz w:val="36"/>
        </w:rPr>
      </w:pPr>
    </w:p>
    <w:p>
      <w:pPr>
        <w:pStyle w:val="2"/>
      </w:pPr>
    </w:p>
    <w:p>
      <w:pPr>
        <w:jc w:val="center"/>
        <w:rPr>
          <w:b/>
          <w:sz w:val="36"/>
          <w:szCs w:val="36"/>
        </w:rPr>
      </w:pPr>
      <w:r>
        <w:rPr>
          <w:rFonts w:hint="eastAsia"/>
          <w:b/>
          <w:sz w:val="36"/>
          <w:szCs w:val="36"/>
        </w:rPr>
        <w:t>采购代理服务费承诺书</w:t>
      </w:r>
    </w:p>
    <w:p>
      <w:pPr>
        <w:spacing w:line="360" w:lineRule="auto"/>
        <w:rPr>
          <w:rFonts w:ascii="宋体" w:hAnsi="宋体"/>
          <w:sz w:val="24"/>
        </w:rPr>
      </w:pPr>
      <w:r>
        <w:rPr>
          <w:rFonts w:hint="eastAsia" w:ascii="宋体" w:hAnsi="宋体"/>
          <w:sz w:val="24"/>
        </w:rPr>
        <w:t>福建精磊信工程管理有限公司:</w:t>
      </w:r>
    </w:p>
    <w:p>
      <w:pPr>
        <w:spacing w:line="360" w:lineRule="auto"/>
        <w:ind w:firstLine="480" w:firstLineChars="200"/>
        <w:rPr>
          <w:rFonts w:ascii="宋体" w:hAnsi="宋体"/>
          <w:sz w:val="24"/>
        </w:rPr>
      </w:pPr>
      <w:r>
        <w:rPr>
          <w:rFonts w:hint="eastAsia" w:ascii="宋体" w:hAnsi="宋体"/>
          <w:sz w:val="24"/>
        </w:rPr>
        <w:t>我们参与贵司组织的</w:t>
      </w:r>
      <w:r>
        <w:rPr>
          <w:rFonts w:ascii="宋体" w:hAnsi="宋体"/>
          <w:sz w:val="24"/>
          <w:u w:val="single"/>
        </w:rPr>
        <w:t xml:space="preserve">                           </w:t>
      </w:r>
      <w:r>
        <w:rPr>
          <w:rFonts w:hint="eastAsia" w:ascii="宋体" w:hAnsi="宋体"/>
          <w:sz w:val="24"/>
        </w:rPr>
        <w:t>项目磋商（项目编号：</w:t>
      </w:r>
      <w:r>
        <w:rPr>
          <w:rFonts w:ascii="宋体" w:hAnsi="宋体"/>
          <w:sz w:val="24"/>
          <w:u w:val="single"/>
        </w:rPr>
        <w:t xml:space="preserve">          </w:t>
      </w:r>
      <w:r>
        <w:rPr>
          <w:rFonts w:hint="eastAsia" w:ascii="宋体" w:hAnsi="宋体"/>
          <w:sz w:val="24"/>
        </w:rPr>
        <w:t>），如获成交，我们保证按磋商文件的规定，以支票、汇票、电汇、现金或经贵司认可的其他付款方式，向贵司缴交采购代理服务费。</w:t>
      </w:r>
    </w:p>
    <w:p>
      <w:pPr>
        <w:spacing w:line="360" w:lineRule="auto"/>
        <w:ind w:firstLine="480" w:firstLineChars="200"/>
        <w:rPr>
          <w:rFonts w:ascii="宋体" w:hAnsi="宋体"/>
          <w:sz w:val="24"/>
        </w:rPr>
      </w:pPr>
      <w:r>
        <w:rPr>
          <w:rFonts w:hint="eastAsia" w:ascii="宋体" w:hAnsi="宋体"/>
          <w:sz w:val="24"/>
        </w:rPr>
        <w:t>我方如违反上述承诺，所提交的上述项目的磋商响应保证金将不予退还我方，我方对此无异议。</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pStyle w:val="2"/>
      </w:pPr>
    </w:p>
    <w:p>
      <w:pPr>
        <w:spacing w:line="360" w:lineRule="auto"/>
        <w:rPr>
          <w:rFonts w:ascii="宋体" w:hAnsi="宋体"/>
          <w:sz w:val="24"/>
          <w:u w:val="single"/>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磋商响应供应商全称（加盖公章）： </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磋商响应供应商代表签字：</w:t>
      </w:r>
      <w:r>
        <w:rPr>
          <w:rFonts w:hint="eastAsia" w:ascii="宋体" w:hAnsi="宋体"/>
          <w:sz w:val="24"/>
          <w:u w:val="single"/>
        </w:rPr>
        <w:t xml:space="preserve">                         </w:t>
      </w:r>
    </w:p>
    <w:p>
      <w:pPr>
        <w:spacing w:line="360" w:lineRule="auto"/>
        <w:ind w:firstLine="3360" w:firstLineChars="1400"/>
        <w:rPr>
          <w:rFonts w:ascii="宋体" w:hAnsi="宋体"/>
          <w:sz w:val="24"/>
          <w:u w:val="single"/>
        </w:rPr>
      </w:pPr>
      <w:r>
        <w:rPr>
          <w:rFonts w:hint="eastAsia" w:ascii="宋体" w:hAnsi="宋体"/>
          <w:sz w:val="24"/>
        </w:rPr>
        <w:t>邮 编：</w:t>
      </w:r>
      <w:r>
        <w:rPr>
          <w:rFonts w:hint="eastAsia" w:ascii="宋体" w:hAnsi="宋体"/>
          <w:sz w:val="24"/>
          <w:u w:val="single"/>
        </w:rPr>
        <w:t xml:space="preserve">           </w:t>
      </w:r>
      <w:r>
        <w:rPr>
          <w:rFonts w:hint="eastAsia" w:ascii="宋体" w:hAnsi="宋体"/>
          <w:sz w:val="24"/>
        </w:rPr>
        <w:t>电 话：</w:t>
      </w:r>
      <w:r>
        <w:rPr>
          <w:rFonts w:hint="eastAsia" w:ascii="宋体" w:hAnsi="宋体"/>
          <w:sz w:val="24"/>
          <w:u w:val="single"/>
        </w:rPr>
        <w:t xml:space="preserve">          </w:t>
      </w:r>
    </w:p>
    <w:p>
      <w:pPr>
        <w:spacing w:line="360" w:lineRule="auto"/>
        <w:rPr>
          <w:sz w:val="24"/>
          <w:u w:val="single"/>
        </w:rPr>
      </w:pPr>
      <w:r>
        <w:rPr>
          <w:sz w:val="24"/>
        </w:rPr>
        <w:t xml:space="preserve">    </w:t>
      </w:r>
      <w:r>
        <w:rPr>
          <w:rFonts w:hint="eastAsia"/>
          <w:sz w:val="24"/>
        </w:rPr>
        <w:t xml:space="preserve">                   </w:t>
      </w:r>
      <w:r>
        <w:rPr>
          <w:sz w:val="24"/>
        </w:rPr>
        <w:t xml:space="preserve"> </w:t>
      </w:r>
      <w:r>
        <w:rPr>
          <w:rFonts w:hint="eastAsia"/>
          <w:sz w:val="24"/>
        </w:rPr>
        <w:t xml:space="preserve">    传 真：</w:t>
      </w:r>
      <w:r>
        <w:rPr>
          <w:rFonts w:hint="eastAsia"/>
          <w:sz w:val="24"/>
          <w:u w:val="single"/>
        </w:rPr>
        <w:t xml:space="preserve">           </w:t>
      </w:r>
      <w:r>
        <w:rPr>
          <w:rFonts w:hint="eastAsia"/>
          <w:sz w:val="24"/>
        </w:rPr>
        <w:t xml:space="preserve">日 期： </w:t>
      </w:r>
      <w:r>
        <w:rPr>
          <w:rFonts w:hint="eastAsia"/>
          <w:sz w:val="24"/>
          <w:u w:val="single"/>
        </w:rPr>
        <w:t xml:space="preserve">         </w:t>
      </w:r>
    </w:p>
    <w:p>
      <w:pPr>
        <w:rPr>
          <w:b/>
          <w:sz w:val="36"/>
          <w:szCs w:val="36"/>
        </w:rPr>
      </w:pPr>
    </w:p>
    <w:p>
      <w:pPr>
        <w:jc w:val="center"/>
        <w:rPr>
          <w:b/>
          <w:sz w:val="36"/>
          <w:szCs w:val="36"/>
        </w:rPr>
      </w:pPr>
      <w:r>
        <w:rPr>
          <w:rFonts w:hint="eastAsia"/>
          <w:b/>
          <w:sz w:val="36"/>
          <w:szCs w:val="36"/>
        </w:rPr>
        <w:t>磋商保证金退还申请书</w:t>
      </w:r>
    </w:p>
    <w:p>
      <w:pPr>
        <w:spacing w:line="360" w:lineRule="auto"/>
        <w:ind w:firstLine="480" w:firstLineChars="200"/>
        <w:rPr>
          <w:rFonts w:ascii="宋体" w:hAnsi="宋体"/>
          <w:sz w:val="24"/>
        </w:rPr>
      </w:pPr>
    </w:p>
    <w:p>
      <w:pPr>
        <w:spacing w:line="360" w:lineRule="auto"/>
        <w:rPr>
          <w:rFonts w:ascii="宋体" w:hAnsi="宋体"/>
          <w:sz w:val="21"/>
          <w:szCs w:val="21"/>
        </w:rPr>
      </w:pPr>
      <w:r>
        <w:rPr>
          <w:rFonts w:hint="eastAsia" w:ascii="宋体" w:hAnsi="宋体"/>
          <w:sz w:val="21"/>
          <w:szCs w:val="21"/>
        </w:rPr>
        <w:t>致：福建精磊信工程管理有限公司</w:t>
      </w: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r>
        <w:rPr>
          <w:rFonts w:ascii="宋体" w:hAnsi="宋体"/>
          <w:sz w:val="21"/>
          <w:szCs w:val="21"/>
        </w:rPr>
        <w:t>我司于</w:t>
      </w:r>
      <w:r>
        <w:rPr>
          <w:rFonts w:hint="eastAsia" w:ascii="宋体" w:hAnsi="宋体"/>
          <w:sz w:val="21"/>
          <w:szCs w:val="21"/>
        </w:rPr>
        <w:t>____</w:t>
      </w:r>
      <w:r>
        <w:rPr>
          <w:rFonts w:ascii="宋体" w:hAnsi="宋体"/>
          <w:sz w:val="21"/>
          <w:szCs w:val="21"/>
        </w:rPr>
        <w:t>年</w:t>
      </w:r>
      <w:r>
        <w:rPr>
          <w:rFonts w:hint="eastAsia" w:ascii="宋体" w:hAnsi="宋体"/>
          <w:sz w:val="21"/>
          <w:szCs w:val="21"/>
        </w:rPr>
        <w:t>____</w:t>
      </w:r>
      <w:r>
        <w:rPr>
          <w:rFonts w:ascii="宋体" w:hAnsi="宋体"/>
          <w:sz w:val="21"/>
          <w:szCs w:val="21"/>
        </w:rPr>
        <w:t>月</w:t>
      </w:r>
      <w:r>
        <w:rPr>
          <w:rFonts w:hint="eastAsia" w:ascii="宋体" w:hAnsi="宋体"/>
          <w:sz w:val="21"/>
          <w:szCs w:val="21"/>
        </w:rPr>
        <w:t>____</w:t>
      </w:r>
      <w:r>
        <w:rPr>
          <w:rFonts w:ascii="宋体" w:hAnsi="宋体"/>
          <w:sz w:val="21"/>
          <w:szCs w:val="21"/>
        </w:rPr>
        <w:t>日将</w:t>
      </w:r>
      <w:r>
        <w:rPr>
          <w:rFonts w:hint="eastAsia" w:ascii="宋体" w:hAnsi="宋体"/>
          <w:sz w:val="21"/>
          <w:szCs w:val="21"/>
        </w:rPr>
        <w:t>磋商</w:t>
      </w:r>
      <w:r>
        <w:rPr>
          <w:rFonts w:ascii="宋体" w:hAnsi="宋体"/>
          <w:sz w:val="21"/>
          <w:szCs w:val="21"/>
        </w:rPr>
        <w:t>保证金</w:t>
      </w:r>
      <w:r>
        <w:rPr>
          <w:rFonts w:hint="eastAsia" w:ascii="宋体" w:hAnsi="宋体"/>
          <w:sz w:val="21"/>
          <w:szCs w:val="21"/>
        </w:rPr>
        <w:t>人民币_______________</w:t>
      </w:r>
      <w:r>
        <w:rPr>
          <w:rFonts w:ascii="宋体" w:hAnsi="宋体"/>
          <w:sz w:val="21"/>
          <w:szCs w:val="21"/>
        </w:rPr>
        <w:t>元汇入贵</w:t>
      </w:r>
      <w:r>
        <w:rPr>
          <w:rFonts w:hint="eastAsia" w:ascii="宋体" w:hAnsi="宋体"/>
          <w:sz w:val="21"/>
          <w:szCs w:val="21"/>
        </w:rPr>
        <w:t>司的________________（开户行）</w:t>
      </w:r>
      <w:r>
        <w:rPr>
          <w:rFonts w:ascii="宋体" w:hAnsi="宋体"/>
          <w:sz w:val="21"/>
          <w:szCs w:val="21"/>
        </w:rPr>
        <w:t>，</w:t>
      </w:r>
      <w:r>
        <w:rPr>
          <w:rFonts w:hint="eastAsia" w:ascii="宋体" w:hAnsi="宋体"/>
          <w:sz w:val="21"/>
          <w:szCs w:val="21"/>
        </w:rPr>
        <w:t>参加贵司组织的________________________________项目（编号：_____________）磋商响应活动</w:t>
      </w:r>
      <w:r>
        <w:rPr>
          <w:rFonts w:ascii="宋体" w:hAnsi="宋体"/>
          <w:sz w:val="21"/>
          <w:szCs w:val="21"/>
        </w:rPr>
        <w:t>。因投标我司</w:t>
      </w:r>
      <w:r>
        <w:rPr>
          <w:rFonts w:hint="eastAsia" w:ascii="宋体" w:hAnsi="宋体"/>
          <w:sz w:val="21"/>
          <w:szCs w:val="21"/>
        </w:rPr>
        <w:t>成交</w:t>
      </w:r>
      <w:r>
        <w:rPr>
          <w:rFonts w:ascii="宋体" w:hAnsi="宋体"/>
          <w:sz w:val="21"/>
          <w:szCs w:val="21"/>
        </w:rPr>
        <w:t>后已</w:t>
      </w:r>
      <w:r>
        <w:rPr>
          <w:rFonts w:hint="eastAsia" w:ascii="宋体" w:hAnsi="宋体"/>
          <w:sz w:val="21"/>
          <w:szCs w:val="21"/>
        </w:rPr>
        <w:t>签订项目合同</w:t>
      </w:r>
      <w:r>
        <w:rPr>
          <w:rFonts w:ascii="宋体" w:hAnsi="宋体"/>
          <w:sz w:val="21"/>
          <w:szCs w:val="21"/>
        </w:rPr>
        <w:t>（</w:t>
      </w:r>
      <w:r>
        <w:rPr>
          <w:rFonts w:hint="eastAsia" w:ascii="宋体" w:hAnsi="宋体"/>
          <w:sz w:val="21"/>
          <w:szCs w:val="21"/>
        </w:rPr>
        <w:t>或我司未能成交</w:t>
      </w:r>
      <w:r>
        <w:rPr>
          <w:rFonts w:ascii="宋体" w:hAnsi="宋体"/>
          <w:sz w:val="21"/>
          <w:szCs w:val="21"/>
        </w:rPr>
        <w:t>），特申请</w:t>
      </w:r>
      <w:r>
        <w:rPr>
          <w:rFonts w:hint="eastAsia" w:ascii="宋体" w:hAnsi="宋体"/>
          <w:sz w:val="21"/>
          <w:szCs w:val="21"/>
        </w:rPr>
        <w:t>原额无息</w:t>
      </w:r>
      <w:r>
        <w:rPr>
          <w:rFonts w:ascii="宋体" w:hAnsi="宋体"/>
          <w:sz w:val="21"/>
          <w:szCs w:val="21"/>
        </w:rPr>
        <w:t>退还</w:t>
      </w:r>
      <w:r>
        <w:rPr>
          <w:rFonts w:hint="eastAsia" w:ascii="宋体" w:hAnsi="宋体"/>
          <w:sz w:val="21"/>
          <w:szCs w:val="21"/>
        </w:rPr>
        <w:t>磋商</w:t>
      </w:r>
      <w:r>
        <w:rPr>
          <w:rFonts w:ascii="宋体" w:hAnsi="宋体"/>
          <w:sz w:val="21"/>
          <w:szCs w:val="21"/>
        </w:rPr>
        <w:t>保证金，为盼！</w:t>
      </w: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r>
        <w:rPr>
          <w:rFonts w:ascii="宋体" w:hAnsi="宋体"/>
          <w:sz w:val="21"/>
          <w:szCs w:val="21"/>
        </w:rPr>
        <w:t>请将</w:t>
      </w:r>
      <w:r>
        <w:rPr>
          <w:rFonts w:hint="eastAsia" w:ascii="宋体" w:hAnsi="宋体"/>
          <w:sz w:val="21"/>
          <w:szCs w:val="21"/>
        </w:rPr>
        <w:t>磋商</w:t>
      </w:r>
      <w:r>
        <w:rPr>
          <w:rFonts w:ascii="宋体" w:hAnsi="宋体"/>
          <w:sz w:val="21"/>
          <w:szCs w:val="21"/>
        </w:rPr>
        <w:t>金汇入以下我司帐户：</w:t>
      </w:r>
    </w:p>
    <w:p>
      <w:pPr>
        <w:spacing w:line="360" w:lineRule="auto"/>
        <w:ind w:firstLine="420" w:firstLineChars="200"/>
        <w:rPr>
          <w:rFonts w:ascii="宋体" w:hAnsi="宋体"/>
          <w:sz w:val="21"/>
          <w:szCs w:val="21"/>
        </w:rPr>
      </w:pPr>
      <w:r>
        <w:rPr>
          <w:rFonts w:hint="eastAsia" w:ascii="宋体" w:hAnsi="宋体"/>
          <w:sz w:val="21"/>
          <w:szCs w:val="21"/>
        </w:rPr>
        <w:t>金  额</w:t>
      </w:r>
      <w:r>
        <w:rPr>
          <w:rFonts w:ascii="宋体" w:hAnsi="宋体"/>
          <w:sz w:val="21"/>
          <w:szCs w:val="21"/>
        </w:rPr>
        <w:t>：_______________________________</w:t>
      </w:r>
      <w:r>
        <w:rPr>
          <w:rFonts w:hint="eastAsia" w:ascii="宋体" w:hAnsi="宋体"/>
          <w:sz w:val="21"/>
          <w:szCs w:val="21"/>
        </w:rPr>
        <w:t>（大小写）</w:t>
      </w:r>
    </w:p>
    <w:p>
      <w:pPr>
        <w:spacing w:line="360" w:lineRule="auto"/>
        <w:ind w:firstLine="420" w:firstLineChars="200"/>
        <w:rPr>
          <w:rFonts w:ascii="宋体" w:hAnsi="宋体"/>
          <w:sz w:val="21"/>
          <w:szCs w:val="21"/>
        </w:rPr>
      </w:pPr>
      <w:r>
        <w:rPr>
          <w:rFonts w:ascii="宋体" w:hAnsi="宋体"/>
          <w:sz w:val="21"/>
          <w:szCs w:val="21"/>
        </w:rPr>
        <w:t>开户行：_______________________________</w:t>
      </w:r>
    </w:p>
    <w:p>
      <w:pPr>
        <w:spacing w:line="360" w:lineRule="auto"/>
        <w:ind w:firstLine="420" w:firstLineChars="200"/>
        <w:rPr>
          <w:rFonts w:ascii="宋体" w:hAnsi="宋体"/>
          <w:sz w:val="21"/>
          <w:szCs w:val="21"/>
        </w:rPr>
      </w:pPr>
      <w:r>
        <w:rPr>
          <w:rFonts w:ascii="宋体" w:hAnsi="宋体"/>
          <w:sz w:val="21"/>
          <w:szCs w:val="21"/>
        </w:rPr>
        <w:t>开户名：_______________________________</w:t>
      </w:r>
    </w:p>
    <w:p>
      <w:pPr>
        <w:spacing w:line="360" w:lineRule="auto"/>
        <w:ind w:firstLine="420" w:firstLineChars="200"/>
        <w:rPr>
          <w:rFonts w:ascii="宋体" w:hAnsi="宋体"/>
          <w:sz w:val="21"/>
          <w:szCs w:val="21"/>
        </w:rPr>
      </w:pPr>
      <w:r>
        <w:rPr>
          <w:rFonts w:ascii="宋体" w:hAnsi="宋体"/>
          <w:sz w:val="21"/>
          <w:szCs w:val="21"/>
        </w:rPr>
        <w:t>帐</w:t>
      </w:r>
      <w:r>
        <w:rPr>
          <w:rFonts w:hint="eastAsia" w:ascii="宋体" w:hAnsi="宋体"/>
          <w:sz w:val="21"/>
          <w:szCs w:val="21"/>
        </w:rPr>
        <w:t xml:space="preserve">  </w:t>
      </w:r>
      <w:r>
        <w:rPr>
          <w:rFonts w:ascii="宋体" w:hAnsi="宋体"/>
          <w:sz w:val="21"/>
          <w:szCs w:val="21"/>
        </w:rPr>
        <w:t>号：_______________________________</w:t>
      </w:r>
    </w:p>
    <w:p>
      <w:pPr>
        <w:spacing w:line="360" w:lineRule="auto"/>
        <w:ind w:firstLine="420" w:firstLineChars="200"/>
        <w:rPr>
          <w:rFonts w:ascii="宋体" w:hAnsi="宋体"/>
          <w:sz w:val="21"/>
          <w:szCs w:val="21"/>
        </w:rPr>
      </w:pPr>
      <w:r>
        <w:rPr>
          <w:rFonts w:ascii="宋体" w:hAnsi="宋体"/>
          <w:sz w:val="21"/>
          <w:szCs w:val="21"/>
        </w:rPr>
        <w:t>电</w:t>
      </w:r>
      <w:r>
        <w:rPr>
          <w:rFonts w:hint="eastAsia" w:ascii="宋体" w:hAnsi="宋体"/>
          <w:sz w:val="21"/>
          <w:szCs w:val="21"/>
        </w:rPr>
        <w:t xml:space="preserve">  </w:t>
      </w:r>
      <w:r>
        <w:rPr>
          <w:rFonts w:ascii="宋体" w:hAnsi="宋体"/>
          <w:sz w:val="21"/>
          <w:szCs w:val="21"/>
        </w:rPr>
        <w:t>话：_______________________________</w:t>
      </w:r>
    </w:p>
    <w:p>
      <w:pPr>
        <w:spacing w:line="360" w:lineRule="auto"/>
        <w:ind w:firstLine="420" w:firstLineChars="200"/>
        <w:jc w:val="right"/>
        <w:rPr>
          <w:rFonts w:ascii="宋体" w:hAnsi="宋体"/>
          <w:sz w:val="21"/>
          <w:szCs w:val="21"/>
        </w:rPr>
      </w:pPr>
    </w:p>
    <w:p>
      <w:pPr>
        <w:wordWrap w:val="0"/>
        <w:spacing w:line="360" w:lineRule="auto"/>
        <w:ind w:firstLine="420" w:firstLineChars="200"/>
        <w:jc w:val="right"/>
        <w:rPr>
          <w:rFonts w:ascii="宋体" w:hAnsi="宋体"/>
          <w:sz w:val="21"/>
          <w:szCs w:val="21"/>
        </w:rPr>
      </w:pPr>
      <w:r>
        <w:rPr>
          <w:rFonts w:ascii="宋体" w:hAnsi="宋体"/>
          <w:sz w:val="21"/>
          <w:szCs w:val="21"/>
        </w:rPr>
        <w:t>公司名称：（公章）</w:t>
      </w:r>
      <w:r>
        <w:rPr>
          <w:rFonts w:hint="eastAsia" w:ascii="宋体" w:hAnsi="宋体"/>
          <w:sz w:val="21"/>
          <w:szCs w:val="21"/>
        </w:rPr>
        <w:t xml:space="preserve">               </w:t>
      </w:r>
    </w:p>
    <w:p>
      <w:pPr>
        <w:wordWrap w:val="0"/>
        <w:spacing w:line="360" w:lineRule="auto"/>
        <w:ind w:firstLine="420" w:firstLineChars="200"/>
        <w:jc w:val="right"/>
        <w:rPr>
          <w:rFonts w:ascii="宋体" w:hAnsi="宋体"/>
          <w:sz w:val="21"/>
          <w:szCs w:val="21"/>
        </w:rPr>
      </w:pPr>
      <w:r>
        <w:rPr>
          <w:rFonts w:ascii="宋体" w:hAnsi="宋体"/>
          <w:sz w:val="21"/>
          <w:szCs w:val="21"/>
        </w:rPr>
        <w:t>经办人：</w:t>
      </w:r>
      <w:r>
        <w:rPr>
          <w:rFonts w:hint="eastAsia" w:ascii="宋体" w:hAnsi="宋体"/>
          <w:sz w:val="21"/>
          <w:szCs w:val="21"/>
        </w:rPr>
        <w:t xml:space="preserve">                        </w:t>
      </w:r>
    </w:p>
    <w:p>
      <w:pPr>
        <w:spacing w:line="360" w:lineRule="auto"/>
        <w:ind w:firstLine="420" w:firstLineChars="200"/>
        <w:jc w:val="right"/>
        <w:rPr>
          <w:rFonts w:ascii="宋体" w:hAnsi="宋体"/>
          <w:sz w:val="21"/>
          <w:szCs w:val="21"/>
        </w:rPr>
      </w:pPr>
      <w:r>
        <w:rPr>
          <w:rFonts w:ascii="宋体" w:hAnsi="宋体"/>
          <w:sz w:val="21"/>
          <w:szCs w:val="21"/>
        </w:rPr>
        <w:t>年     月     日</w:t>
      </w:r>
    </w:p>
    <w:p>
      <w:pPr>
        <w:spacing w:line="360" w:lineRule="auto"/>
        <w:ind w:firstLine="420" w:firstLineChars="200"/>
        <w:rPr>
          <w:rFonts w:ascii="宋体" w:hAnsi="宋体"/>
          <w:sz w:val="21"/>
          <w:szCs w:val="21"/>
        </w:rPr>
      </w:pPr>
    </w:p>
    <w:p>
      <w:pPr>
        <w:rPr>
          <w:sz w:val="21"/>
          <w:szCs w:val="21"/>
        </w:rPr>
      </w:pPr>
    </w:p>
    <w:sectPr>
      <w:pgSz w:w="11906" w:h="16838"/>
      <w:pgMar w:top="930" w:right="1179" w:bottom="38" w:left="117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200001FF" w:csb1="00000000"/>
  </w:font>
  <w:font w:name="Arial Narrow">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0" w:usb1="00000000" w:usb2="00000006" w:usb3="00000000" w:csb0="00040001" w:csb1="00000000"/>
  </w:font>
  <w:font w:name="微软雅黑">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0"/>
        <w:u w:val="single"/>
      </w:rPr>
    </w:pPr>
    <w:r>
      <w:rPr>
        <w:rFonts w:hint="eastAsia"/>
        <w:sz w:val="20"/>
        <w:u w:val="single"/>
      </w:rPr>
      <w:t xml:space="preserve">                                                                                               </w:t>
    </w:r>
  </w:p>
  <w:p>
    <w:pPr>
      <w:pStyle w:val="15"/>
      <w:jc w:val="center"/>
    </w:pPr>
    <w:r>
      <w:rPr>
        <w:sz w:val="20"/>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2951480</wp:posOffset>
              </wp:positionV>
              <wp:extent cx="57594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594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7.5pt;margin-top:232.4pt;height:0pt;width:453.5pt;z-index:251660288;mso-width-relative:page;mso-height-relative:page;" filled="f" stroked="t" coordsize="21600,21600" o:gfxdata="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P66C1wAAAAwBAAAP&#10;AAAAAAAAAAEAIAAAACIAAABkcnMvZG93bnJldi54bWxQSwECFAAUAAAACACHTuJAug+neeABAACk&#10;AwAADgAAAAAAAAABACAAAAAmAQAAZHJzL2Uyb0RvYy54bWxQSwUGAAAAAAYABgBZAQAAeAU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2951480</wp:posOffset>
              </wp:positionV>
              <wp:extent cx="62611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261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pt;margin-top:232.4pt;height:0pt;width:493pt;z-index:251659264;mso-width-relative:page;mso-height-relative:page;" filled="f" stroked="t" coordsize="21600,21600" o:gfxdata="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ZZZd1gAAAAsBAAAPAAAA&#10;AAAAAAEAIAAAACIAAABkcnMvZG93bnJldi54bWxQSwECFAAUAAAACACHTuJA3nagWd4BAACkAwAA&#10;DgAAAAAAAAABACAAAAAlAQAAZHJzL2Uyb0RvYy54bWxQSwUGAAAAAAYABgBZAQAAdQUAAAAA&#10;">
              <v:fill on="f" focussize="0,0"/>
              <v:stroke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0"/>
        <w:u w:val="single"/>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20"/>
        <w:u w:val="single"/>
      </w:rPr>
      <w:t xml:space="preserve">                                                                                               </w: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0"/>
        <w:u w:val="single"/>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4LBY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zeUaKYwo9OP76efD6df3wj+AFBr/Qx2GwvL0L0zHYyHf4/P2HdX&#10;ORVvdESgB9THC7yiC4RHp+lkOs2h4tAND8TPHt2t8+G9MIpEoaAO80uwssPah950MInZtFk1UqYZ&#10;Sk3agl69fps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24LBYbAgAAIwQAAA4A&#10;AAAAAAAAAQAgAAAAHwEAAGRycy9lMm9Eb2MueG1sUEsFBgAAAAAGAAYAWQEAAKwFAA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10</w:t>
                    </w:r>
                    <w:r>
                      <w:fldChar w:fldCharType="end"/>
                    </w:r>
                  </w:p>
                </w:txbxContent>
              </v:textbox>
            </v:shape>
          </w:pict>
        </mc:Fallback>
      </mc:AlternateContent>
    </w:r>
    <w:r>
      <w:rPr>
        <w:rFonts w:hint="eastAsia"/>
        <w:sz w:val="20"/>
        <w:u w:val="single"/>
      </w:rPr>
      <w:t xml:space="preserve">                                                                                               </w: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0"/>
        <w:u w:val="single"/>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KZlMb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r99ip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wKZlMbAgAAIwQAAA4A&#10;AAAAAAAAAQAgAAAAHwEAAGRycy9lMm9Eb2MueG1sUEsFBgAAAAAGAAYAWQEAAKwFAA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27</w:t>
                    </w:r>
                    <w:r>
                      <w:fldChar w:fldCharType="end"/>
                    </w:r>
                  </w:p>
                </w:txbxContent>
              </v:textbox>
            </v:shape>
          </w:pict>
        </mc:Fallback>
      </mc:AlternateContent>
    </w:r>
    <w:r>
      <w:rPr>
        <w:rFonts w:hint="eastAsia"/>
        <w:sz w:val="20"/>
        <w:u w:val="single"/>
      </w:rPr>
      <w:t xml:space="preserve">                                                                                               </w: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宋体" w:hAnsi="宋体"/>
      </w:rPr>
    </w:pPr>
    <w:r>
      <w:rPr>
        <w:rFonts w:hint="eastAsia" w:ascii="宋体" w:hAnsi="宋体"/>
      </w:rPr>
      <w:t>磋商文件                                                               项目</w:t>
    </w:r>
    <w:r>
      <w:rPr>
        <w:rFonts w:hint="eastAsia" w:ascii="宋体" w:hAnsi="宋体"/>
        <w:iCs/>
      </w:rPr>
      <w:t>编号：JLX2021-001</w:t>
    </w:r>
  </w:p>
  <w:p>
    <w:pPr>
      <w:pStyle w:val="16"/>
      <w:jc w:val="both"/>
    </w:pPr>
    <w: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05pt;margin-top:0pt;height:0pt;width:441pt;z-index:251662336;mso-width-relative:page;mso-height-relative:page;" filled="f" stroked="t" coordsize="21600,21600" o:gfxdata="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NMhRdEAAAADAQAADwAAAAAAAAAB&#10;ACAAAAAiAAAAZHJzL2Rvd25yZXYueG1sUEsBAhQAFAAAAAgAh07iQCw1R1jeAQAApAMAAA4AAAAA&#10;AAAAAQAgAAAAIAEAAGRycy9lMm9Eb2MueG1sUEsFBgAAAAAGAAYAWQEAAHAFAAA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0B0EDE"/>
    <w:multiLevelType w:val="singleLevel"/>
    <w:tmpl w:val="950B0EDE"/>
    <w:lvl w:ilvl="0" w:tentative="0">
      <w:start w:val="1"/>
      <w:numFmt w:val="decimal"/>
      <w:suff w:val="space"/>
      <w:lvlText w:val="%1."/>
      <w:lvlJc w:val="left"/>
    </w:lvl>
  </w:abstractNum>
  <w:abstractNum w:abstractNumId="1">
    <w:nsid w:val="E9A2CE9C"/>
    <w:multiLevelType w:val="singleLevel"/>
    <w:tmpl w:val="E9A2CE9C"/>
    <w:lvl w:ilvl="0" w:tentative="0">
      <w:start w:val="9"/>
      <w:numFmt w:val="decimal"/>
      <w:suff w:val="space"/>
      <w:lvlText w:val="%1."/>
      <w:lvlJc w:val="left"/>
    </w:lvl>
  </w:abstractNum>
  <w:abstractNum w:abstractNumId="2">
    <w:nsid w:val="1F15118A"/>
    <w:multiLevelType w:val="multilevel"/>
    <w:tmpl w:val="1F15118A"/>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A207A49"/>
    <w:multiLevelType w:val="multilevel"/>
    <w:tmpl w:val="4A207A49"/>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52CB7061"/>
    <w:multiLevelType w:val="multilevel"/>
    <w:tmpl w:val="52CB7061"/>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67864187"/>
    <w:multiLevelType w:val="multilevel"/>
    <w:tmpl w:val="67864187"/>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29"/>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4"/>
      <w:lang w:val="en-US" w:eastAsia="zh-CN" w:bidi="ar-SA"/>
    </w:rPr>
  </w:style>
  <w:style w:type="paragraph" w:styleId="6">
    <w:name w:val="heading 1"/>
    <w:basedOn w:val="1"/>
    <w:next w:val="1"/>
    <w:qFormat/>
    <w:uiPriority w:val="0"/>
    <w:pPr>
      <w:keepNext/>
      <w:keepLines/>
      <w:spacing w:line="578" w:lineRule="auto"/>
      <w:outlineLvl w:val="0"/>
    </w:pPr>
    <w:rPr>
      <w:b/>
      <w:bCs/>
      <w:kern w:val="44"/>
      <w:sz w:val="44"/>
      <w:szCs w:val="44"/>
    </w:rPr>
  </w:style>
  <w:style w:type="paragraph" w:styleId="7">
    <w:name w:val="heading 2"/>
    <w:basedOn w:val="1"/>
    <w:next w:val="1"/>
    <w:link w:val="36"/>
    <w:qFormat/>
    <w:uiPriority w:val="0"/>
    <w:pPr>
      <w:keepNext/>
      <w:keepLines/>
      <w:spacing w:line="416" w:lineRule="auto"/>
      <w:outlineLvl w:val="1"/>
    </w:pPr>
    <w:rPr>
      <w:rFonts w:ascii="Arial" w:hAnsi="Arial" w:eastAsia="黑体"/>
      <w:b/>
      <w:bCs/>
      <w:sz w:val="32"/>
      <w:szCs w:val="32"/>
    </w:rPr>
  </w:style>
  <w:style w:type="paragraph" w:styleId="8">
    <w:name w:val="heading 3"/>
    <w:basedOn w:val="1"/>
    <w:next w:val="1"/>
    <w:link w:val="34"/>
    <w:unhideWhenUsed/>
    <w:qFormat/>
    <w:uiPriority w:val="0"/>
    <w:pPr>
      <w:keepNext/>
      <w:keepLines/>
      <w:spacing w:before="260" w:after="260" w:line="416" w:lineRule="auto"/>
      <w:outlineLvl w:val="2"/>
    </w:pPr>
    <w:rPr>
      <w:b/>
      <w:bCs/>
      <w:sz w:val="32"/>
      <w:szCs w:val="32"/>
    </w:rPr>
  </w:style>
  <w:style w:type="character" w:default="1" w:styleId="21">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szCs w:val="20"/>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annotation subject"/>
    <w:basedOn w:val="10"/>
    <w:next w:val="10"/>
    <w:link w:val="39"/>
    <w:qFormat/>
    <w:uiPriority w:val="0"/>
    <w:rPr>
      <w:b/>
      <w:bCs/>
    </w:rPr>
  </w:style>
  <w:style w:type="paragraph" w:styleId="10">
    <w:name w:val="annotation text"/>
    <w:basedOn w:val="1"/>
    <w:link w:val="38"/>
    <w:qFormat/>
    <w:uiPriority w:val="0"/>
    <w:pPr>
      <w:jc w:val="left"/>
    </w:pPr>
  </w:style>
  <w:style w:type="paragraph" w:styleId="11">
    <w:name w:val="Normal Indent"/>
    <w:basedOn w:val="1"/>
    <w:qFormat/>
    <w:uiPriority w:val="0"/>
    <w:pPr>
      <w:adjustRightInd w:val="0"/>
      <w:spacing w:line="360" w:lineRule="auto"/>
      <w:ind w:firstLine="420"/>
    </w:pPr>
    <w:rPr>
      <w:rFonts w:hint="eastAsia" w:ascii="宋体" w:hAnsi="Arial"/>
      <w:kern w:val="0"/>
      <w:sz w:val="24"/>
      <w:szCs w:val="20"/>
    </w:rPr>
  </w:style>
  <w:style w:type="paragraph" w:styleId="12">
    <w:name w:val="Plain Text"/>
    <w:basedOn w:val="1"/>
    <w:qFormat/>
    <w:uiPriority w:val="0"/>
    <w:rPr>
      <w:rFonts w:ascii="宋体" w:hAnsi="Courier New"/>
      <w:sz w:val="21"/>
      <w:szCs w:val="20"/>
    </w:rPr>
  </w:style>
  <w:style w:type="paragraph" w:styleId="13">
    <w:name w:val="Body Text Indent 2"/>
    <w:basedOn w:val="1"/>
    <w:qFormat/>
    <w:uiPriority w:val="0"/>
    <w:pPr>
      <w:spacing w:line="360" w:lineRule="auto"/>
      <w:ind w:right="-31" w:rightChars="-15" w:firstLine="756" w:firstLineChars="270"/>
    </w:pPr>
  </w:style>
  <w:style w:type="paragraph" w:styleId="14">
    <w:name w:val="Balloon Text"/>
    <w:basedOn w:val="1"/>
    <w:link w:val="32"/>
    <w:qFormat/>
    <w:uiPriority w:val="0"/>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tabs>
        <w:tab w:val="center" w:pos="4153"/>
        <w:tab w:val="right" w:pos="8306"/>
      </w:tabs>
      <w:snapToGrid w:val="0"/>
      <w:jc w:val="center"/>
    </w:pPr>
    <w:rPr>
      <w:sz w:val="18"/>
      <w:szCs w:val="18"/>
    </w:rPr>
  </w:style>
  <w:style w:type="paragraph" w:styleId="17">
    <w:name w:val="toc 1"/>
    <w:basedOn w:val="1"/>
    <w:next w:val="1"/>
    <w:qFormat/>
    <w:uiPriority w:val="39"/>
    <w:pPr>
      <w:jc w:val="left"/>
    </w:pPr>
    <w:rPr>
      <w:bCs/>
      <w:sz w:val="21"/>
      <w:szCs w:val="20"/>
    </w:rPr>
  </w:style>
  <w:style w:type="paragraph" w:styleId="18">
    <w:name w:val="toc 2"/>
    <w:basedOn w:val="1"/>
    <w:next w:val="1"/>
    <w:link w:val="35"/>
    <w:qFormat/>
    <w:uiPriority w:val="39"/>
    <w:pPr>
      <w:ind w:left="280"/>
      <w:jc w:val="left"/>
    </w:pPr>
    <w:rPr>
      <w:iCs/>
      <w:sz w:val="21"/>
      <w:szCs w:val="20"/>
    </w:rPr>
  </w:style>
  <w:style w:type="paragraph" w:styleId="19">
    <w:name w:val="Normal (Web)"/>
    <w:basedOn w:val="1"/>
    <w:qFormat/>
    <w:uiPriority w:val="0"/>
    <w:pPr>
      <w:spacing w:after="150"/>
      <w:jc w:val="left"/>
    </w:pPr>
    <w:rPr>
      <w:kern w:val="0"/>
      <w:sz w:val="24"/>
    </w:rPr>
  </w:style>
  <w:style w:type="paragraph" w:styleId="20">
    <w:name w:val="Title"/>
    <w:basedOn w:val="1"/>
    <w:next w:val="1"/>
    <w:qFormat/>
    <w:uiPriority w:val="0"/>
    <w:pPr>
      <w:spacing w:before="240" w:after="60" w:line="360" w:lineRule="auto"/>
      <w:jc w:val="center"/>
      <w:outlineLvl w:val="0"/>
    </w:pPr>
    <w:rPr>
      <w:rFonts w:asciiTheme="majorHAnsi" w:hAnsiTheme="majorHAnsi" w:eastAsiaTheme="majorEastAsia" w:cstheme="majorBidi"/>
      <w:b/>
      <w:bCs/>
      <w:sz w:val="32"/>
      <w:szCs w:val="32"/>
    </w:rPr>
  </w:style>
  <w:style w:type="character" w:styleId="22">
    <w:name w:val="Strong"/>
    <w:basedOn w:val="21"/>
    <w:qFormat/>
    <w:uiPriority w:val="0"/>
    <w:rPr>
      <w:b/>
    </w:rPr>
  </w:style>
  <w:style w:type="character" w:styleId="23">
    <w:name w:val="annotation reference"/>
    <w:basedOn w:val="21"/>
    <w:qFormat/>
    <w:uiPriority w:val="0"/>
    <w:rPr>
      <w:sz w:val="21"/>
      <w:szCs w:val="21"/>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6">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27">
    <w:name w:val="Table Paragraph"/>
    <w:basedOn w:val="1"/>
    <w:qFormat/>
    <w:uiPriority w:val="1"/>
  </w:style>
  <w:style w:type="paragraph" w:customStyle="1" w:styleId="28">
    <w:name w:val="样式3"/>
    <w:basedOn w:val="12"/>
    <w:qFormat/>
    <w:uiPriority w:val="0"/>
    <w:pPr>
      <w:spacing w:line="0" w:lineRule="atLeast"/>
      <w:outlineLvl w:val="0"/>
    </w:pPr>
    <w:rPr>
      <w:rFonts w:hint="eastAsia"/>
      <w:sz w:val="28"/>
    </w:rPr>
  </w:style>
  <w:style w:type="paragraph" w:customStyle="1" w:styleId="29">
    <w:name w:val="标3"/>
    <w:basedOn w:val="1"/>
    <w:qFormat/>
    <w:uiPriority w:val="0"/>
    <w:pPr>
      <w:numPr>
        <w:ilvl w:val="2"/>
        <w:numId w:val="1"/>
      </w:numPr>
      <w:tabs>
        <w:tab w:val="left" w:pos="1740"/>
        <w:tab w:val="clear" w:pos="1260"/>
      </w:tabs>
      <w:adjustRightInd w:val="0"/>
      <w:snapToGrid w:val="0"/>
      <w:ind w:left="1740"/>
      <w:outlineLvl w:val="2"/>
    </w:pPr>
    <w:rPr>
      <w:rFonts w:ascii="Arial Narrow" w:hAnsi="Arial Narrow" w:eastAsia="仿宋_GB2312"/>
      <w:szCs w:val="20"/>
    </w:rPr>
  </w:style>
  <w:style w:type="paragraph" w:customStyle="1" w:styleId="30">
    <w:name w:val="List Paragraph"/>
    <w:basedOn w:val="1"/>
    <w:link w:val="31"/>
    <w:qFormat/>
    <w:uiPriority w:val="34"/>
    <w:pPr>
      <w:ind w:firstLine="420" w:firstLineChars="200"/>
    </w:pPr>
    <w:rPr>
      <w:sz w:val="21"/>
      <w:szCs w:val="22"/>
    </w:rPr>
  </w:style>
  <w:style w:type="character" w:customStyle="1" w:styleId="31">
    <w:name w:val="列出段落 Char"/>
    <w:link w:val="30"/>
    <w:qFormat/>
    <w:uiPriority w:val="0"/>
    <w:rPr>
      <w:kern w:val="2"/>
      <w:sz w:val="21"/>
      <w:szCs w:val="22"/>
    </w:rPr>
  </w:style>
  <w:style w:type="character" w:customStyle="1" w:styleId="32">
    <w:name w:val="批注框文本 Char"/>
    <w:basedOn w:val="21"/>
    <w:link w:val="14"/>
    <w:qFormat/>
    <w:uiPriority w:val="0"/>
    <w:rPr>
      <w:kern w:val="2"/>
      <w:sz w:val="18"/>
      <w:szCs w:val="18"/>
    </w:rPr>
  </w:style>
  <w:style w:type="paragraph" w:customStyle="1" w:styleId="33">
    <w:name w:val="首行缩进"/>
    <w:basedOn w:val="1"/>
    <w:qFormat/>
    <w:uiPriority w:val="0"/>
    <w:pPr>
      <w:spacing w:line="360" w:lineRule="auto"/>
      <w:ind w:firstLine="480" w:firstLineChars="200"/>
    </w:pPr>
    <w:rPr>
      <w:rFonts w:ascii="Times New Roman" w:hAnsi="Times New Roman"/>
      <w:sz w:val="24"/>
    </w:rPr>
  </w:style>
  <w:style w:type="character" w:customStyle="1" w:styleId="34">
    <w:name w:val="标题 3 Char"/>
    <w:basedOn w:val="21"/>
    <w:link w:val="8"/>
    <w:semiHidden/>
    <w:qFormat/>
    <w:uiPriority w:val="0"/>
    <w:rPr>
      <w:b/>
      <w:bCs/>
      <w:kern w:val="2"/>
      <w:sz w:val="32"/>
      <w:szCs w:val="32"/>
    </w:rPr>
  </w:style>
  <w:style w:type="character" w:customStyle="1" w:styleId="35">
    <w:name w:val="目录 2 Char"/>
    <w:link w:val="18"/>
    <w:qFormat/>
    <w:uiPriority w:val="39"/>
    <w:rPr>
      <w:iCs/>
      <w:sz w:val="21"/>
      <w:szCs w:val="20"/>
    </w:rPr>
  </w:style>
  <w:style w:type="character" w:customStyle="1" w:styleId="36">
    <w:name w:val="标题 2 Char"/>
    <w:link w:val="7"/>
    <w:qFormat/>
    <w:uiPriority w:val="0"/>
    <w:rPr>
      <w:rFonts w:ascii="Arial" w:hAnsi="Arial" w:eastAsia="黑体"/>
      <w:b/>
      <w:bCs/>
      <w:sz w:val="32"/>
      <w:szCs w:val="32"/>
    </w:rPr>
  </w:style>
  <w:style w:type="paragraph" w:customStyle="1" w:styleId="37">
    <w:name w:val="标书_正文"/>
    <w:basedOn w:val="1"/>
    <w:qFormat/>
    <w:uiPriority w:val="0"/>
    <w:pPr>
      <w:spacing w:line="360" w:lineRule="auto"/>
      <w:ind w:firstLine="480" w:firstLineChars="200"/>
    </w:pPr>
    <w:rPr>
      <w:rFonts w:ascii="宋体" w:hAnsi="宋体"/>
      <w:sz w:val="24"/>
    </w:rPr>
  </w:style>
  <w:style w:type="character" w:customStyle="1" w:styleId="38">
    <w:name w:val="批注文字 Char"/>
    <w:basedOn w:val="21"/>
    <w:link w:val="10"/>
    <w:qFormat/>
    <w:uiPriority w:val="0"/>
    <w:rPr>
      <w:rFonts w:ascii="Calibri" w:hAnsi="Calibri"/>
      <w:kern w:val="2"/>
      <w:sz w:val="28"/>
      <w:szCs w:val="24"/>
    </w:rPr>
  </w:style>
  <w:style w:type="character" w:customStyle="1" w:styleId="39">
    <w:name w:val="批注主题 Char"/>
    <w:basedOn w:val="38"/>
    <w:link w:val="9"/>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52</Pages>
  <Words>5013</Words>
  <Characters>28575</Characters>
  <Lines>238</Lines>
  <Paragraphs>67</Paragraphs>
  <TotalTime>0</TotalTime>
  <ScaleCrop>false</ScaleCrop>
  <LinksUpToDate>false</LinksUpToDate>
  <CharactersWithSpaces>33521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2019-04-21T21:44:00Z</dcterms:created>
  <dc:creator>mmm7</dc:creator>
  <cp:lastModifiedBy>Mitchell</cp:lastModifiedBy>
  <cp:lastPrinted>2020-01-08T11:10:00Z</cp:lastPrinted>
  <dcterms:modified xsi:type="dcterms:W3CDTF">2021-04-25T09:03:43Z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2052-11.7.0</vt:lpwstr>
  </property>
  <property fmtid="{D5CDD505-2E9C-101B-9397-08002B2CF9AE}" pid="3" name="ICV">
    <vt:lpwstr>CE35BDBC4A2441088ED4C2079E7DBB3B</vt:lpwstr>
  </property>
</Properties>
</file>