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0" w:afterLines="0"/>
        <w:rPr>
          <w:rFonts w:hint="default"/>
          <w:sz w:val="2"/>
        </w:rPr>
      </w:pPr>
    </w:p>
    <w:tbl>
      <w:tblPr>
        <w:tblStyle w:val="8"/>
        <w:tblW w:w="86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6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44"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25" w:lineRule="exact"/>
              <w:jc w:val="center"/>
              <w:rPr>
                <w:rFonts w:hint="default" w:ascii="黑体" w:hAnsi="黑体" w:eastAsia="黑体"/>
                <w:sz w:val="30"/>
              </w:rPr>
            </w:pPr>
            <w:r>
              <w:rPr>
                <w:rFonts w:hint="eastAsia" w:ascii="方正小标宋简体" w:hAnsi="方正小标宋简体" w:eastAsia="方正小标宋简体"/>
                <w:sz w:val="44"/>
              </w:rPr>
              <w:t>2023年厦门市民政局</w:t>
            </w:r>
            <w:r>
              <w:rPr>
                <w:rFonts w:hint="eastAsia" w:ascii="方正小标宋简体" w:hAnsi="方正小标宋简体" w:eastAsia="方正小标宋简体"/>
                <w:sz w:val="44"/>
                <w:lang w:val="en-US" w:eastAsia="zh-CN"/>
              </w:rPr>
              <w:t>机关</w:t>
            </w:r>
            <w:r>
              <w:rPr>
                <w:rFonts w:hint="eastAsia" w:ascii="方正小标宋简体" w:hAnsi="方正小标宋简体" w:eastAsia="方正小标宋简体"/>
                <w:sz w:val="44"/>
              </w:rPr>
              <w:t>预算说明</w:t>
            </w:r>
          </w:p>
          <w:p>
            <w:pPr>
              <w:spacing w:beforeLines="0" w:afterLines="0" w:line="525" w:lineRule="exact"/>
              <w:jc w:val="center"/>
              <w:rPr>
                <w:rFonts w:hint="default" w:ascii="黑体" w:hAnsi="黑体" w:eastAsia="黑体"/>
                <w:sz w:val="30"/>
              </w:rPr>
            </w:pPr>
          </w:p>
          <w:p>
            <w:pPr>
              <w:spacing w:beforeLines="0" w:afterLines="0" w:line="525" w:lineRule="exact"/>
              <w:jc w:val="center"/>
              <w:rPr>
                <w:rFonts w:hint="eastAsia" w:ascii="黑体" w:hAnsi="黑体" w:eastAsia="黑体"/>
                <w:sz w:val="32"/>
              </w:rPr>
            </w:pPr>
            <w:r>
              <w:rPr>
                <w:rFonts w:hint="eastAsia" w:ascii="黑体" w:hAnsi="黑体" w:eastAsia="黑体"/>
                <w:sz w:val="32"/>
              </w:rPr>
              <w:t>目　　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95"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rPr>
                <w:rFonts w:hint="default" w:ascii="仿宋" w:hAnsi="仿宋" w:eastAsia="仿宋"/>
                <w:sz w:val="32"/>
              </w:rPr>
            </w:pPr>
            <w:r>
              <w:rPr>
                <w:rFonts w:hint="eastAsia" w:ascii="黑体" w:hAnsi="黑体" w:eastAsia="黑体"/>
                <w:sz w:val="32"/>
              </w:rPr>
              <w:t>　　第一部分   单位概况</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一、单位主要职责</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二、单位基本情况</w:t>
            </w:r>
          </w:p>
          <w:p>
            <w:pPr>
              <w:spacing w:beforeLines="0" w:afterLines="0" w:line="555" w:lineRule="exact"/>
              <w:rPr>
                <w:rFonts w:hint="default" w:ascii="黑体" w:hAnsi="黑体" w:eastAsia="黑体"/>
                <w:sz w:val="32"/>
              </w:rPr>
            </w:pPr>
            <w:r>
              <w:rPr>
                <w:rFonts w:hint="eastAsia" w:ascii="仿宋_GB2312" w:hAnsi="仿宋_GB2312" w:eastAsia="仿宋_GB2312"/>
                <w:sz w:val="32"/>
              </w:rPr>
              <w:t>　　三、单位主要工作任务</w:t>
            </w:r>
          </w:p>
          <w:p>
            <w:pPr>
              <w:spacing w:beforeLines="0" w:afterLines="0" w:line="555" w:lineRule="exact"/>
              <w:rPr>
                <w:rFonts w:hint="default" w:ascii="黑体" w:hAnsi="黑体" w:eastAsia="黑体"/>
                <w:sz w:val="32"/>
              </w:rPr>
            </w:pPr>
            <w:r>
              <w:rPr>
                <w:rFonts w:hint="eastAsia" w:ascii="黑体" w:hAnsi="黑体" w:eastAsia="黑体"/>
                <w:sz w:val="32"/>
              </w:rPr>
              <w:t>　　第二部分   2023年单位预算说明</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一、2023年单位预算收支总体情况</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二、一般公共预算财政拨款支出预算情况</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三、政府性基金预算财政拨款支出情况</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四、“三公”经费财政拨款预算情况</w:t>
            </w:r>
          </w:p>
          <w:p>
            <w:pPr>
              <w:spacing w:beforeLines="0" w:afterLines="0" w:line="555" w:lineRule="exact"/>
              <w:rPr>
                <w:rFonts w:hint="default" w:ascii="黑体" w:hAnsi="黑体" w:eastAsia="黑体"/>
                <w:sz w:val="32"/>
              </w:rPr>
            </w:pPr>
            <w:r>
              <w:rPr>
                <w:rFonts w:hint="eastAsia" w:ascii="仿宋_GB2312" w:hAnsi="仿宋_GB2312" w:eastAsia="仿宋_GB2312"/>
                <w:sz w:val="32"/>
              </w:rPr>
              <w:t>　　五、其他重要事项的情况说明</w:t>
            </w:r>
          </w:p>
          <w:p>
            <w:pPr>
              <w:spacing w:beforeLines="0" w:afterLines="0" w:line="555" w:lineRule="exact"/>
              <w:rPr>
                <w:rFonts w:hint="default" w:ascii="黑体" w:hAnsi="黑体" w:eastAsia="黑体"/>
                <w:sz w:val="32"/>
              </w:rPr>
            </w:pPr>
            <w:r>
              <w:rPr>
                <w:rFonts w:hint="eastAsia" w:ascii="黑体" w:hAnsi="黑体" w:eastAsia="黑体"/>
                <w:sz w:val="32"/>
              </w:rPr>
              <w:t>　　第三部分   名词解释</w:t>
            </w:r>
          </w:p>
          <w:p>
            <w:pPr>
              <w:spacing w:beforeLines="0" w:afterLines="0" w:line="555" w:lineRule="exact"/>
              <w:rPr>
                <w:rFonts w:hint="default" w:ascii="黑体" w:hAnsi="黑体" w:eastAsia="黑体"/>
                <w:sz w:val="32"/>
              </w:rPr>
            </w:pPr>
            <w:r>
              <w:rPr>
                <w:rFonts w:hint="eastAsia" w:ascii="黑体" w:hAnsi="黑体" w:eastAsia="黑体"/>
                <w:sz w:val="32"/>
              </w:rPr>
              <w:t>　　第四部分   2023年单位预算附表</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一、部门收支预算总体情况表</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二、部门收入预算总体情况表</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三、部门支出预算总体情况表</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四、财政拨款收支预算总体情况表</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五、 一般公共预算支出情况表</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六、一般公共预算基本支出情况表（经济分类款级科目）</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七、一般公共预算“三公”经费支出情况表</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八、政府性基金预算支出情况表</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九、市对区转移支付支出预算表</w:t>
            </w:r>
          </w:p>
          <w:p>
            <w:pPr>
              <w:spacing w:beforeLines="0" w:afterLines="0" w:line="555" w:lineRule="exact"/>
              <w:rPr>
                <w:rFonts w:hint="eastAsia" w:ascii="仿宋_GB2312" w:hAnsi="仿宋_GB2312" w:eastAsia="仿宋_GB2312"/>
                <w:sz w:val="32"/>
              </w:rPr>
            </w:pPr>
            <w:r>
              <w:rPr>
                <w:rFonts w:hint="eastAsia" w:ascii="仿宋_GB2312" w:hAnsi="仿宋_GB2312" w:eastAsia="仿宋_GB2312"/>
                <w:sz w:val="32"/>
              </w:rPr>
              <w:t>　　十、二级项目绩效目标表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1"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ind w:left="20"/>
              <w:jc w:val="center"/>
              <w:rPr>
                <w:rFonts w:hint="eastAsia" w:ascii="黑体" w:hAnsi="黑体" w:eastAsia="黑体"/>
                <w:sz w:val="32"/>
              </w:rPr>
            </w:pPr>
            <w:r>
              <w:rPr>
                <w:rFonts w:hint="eastAsia" w:ascii="黑体" w:hAnsi="黑体" w:eastAsia="黑体"/>
                <w:sz w:val="32"/>
              </w:rPr>
              <w:t>第一部分  单位概况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99"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rPr>
                <w:rFonts w:hint="default" w:ascii="仿宋_GB2312" w:hAnsi="仿宋_GB2312" w:eastAsia="仿宋_GB2312"/>
                <w:sz w:val="32"/>
              </w:rPr>
            </w:pPr>
            <w:r>
              <w:rPr>
                <w:rFonts w:hint="eastAsia" w:ascii="黑体" w:hAnsi="黑体" w:eastAsia="黑体"/>
                <w:sz w:val="32"/>
              </w:rPr>
              <w:t>　　一、单位主要职责</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厦门市民政局的主要职责是：</w:t>
            </w:r>
          </w:p>
          <w:p>
            <w:pPr>
              <w:keepNext w:val="0"/>
              <w:keepLines w:val="0"/>
              <w:pageBreakBefore w:val="0"/>
              <w:widowControl w:val="0"/>
              <w:kinsoku/>
              <w:wordWrap/>
              <w:overflowPunct/>
              <w:topLinePunct w:val="0"/>
              <w:autoSpaceDE w:val="0"/>
              <w:autoSpaceDN w:val="0"/>
              <w:bidi w:val="0"/>
              <w:adjustRightInd w:val="0"/>
              <w:snapToGrid/>
              <w:spacing w:beforeLines="0" w:afterLines="0" w:line="579" w:lineRule="exact"/>
              <w:ind w:firstLine="640" w:firstLineChars="200"/>
              <w:jc w:val="both"/>
              <w:textAlignment w:val="auto"/>
              <w:outlineLvl w:val="9"/>
              <w:rPr>
                <w:rFonts w:hint="eastAsia" w:ascii="FangSong_GB2312" w:hAnsi="FangSong_GB2312" w:eastAsia="FangSong_GB2312" w:cs="Times New Roman"/>
                <w:color w:val="auto"/>
                <w:sz w:val="32"/>
                <w:szCs w:val="22"/>
              </w:rPr>
            </w:pPr>
            <w:r>
              <w:rPr>
                <w:rFonts w:hint="eastAsia" w:ascii="FangSong_GB2312" w:hAnsi="FangSong_GB2312" w:eastAsia="FangSong_GB2312" w:cs="Times New Roman"/>
                <w:color w:val="auto"/>
                <w:sz w:val="32"/>
                <w:szCs w:val="22"/>
              </w:rPr>
              <w:t>（一）贯彻执行国家、省有关民政工作的法律法规规章和政策，起草并组织实施我市民政工作的地方性法规、规章和政策，拟订并组织实施民政事业发展规划。</w:t>
            </w:r>
          </w:p>
          <w:p>
            <w:pPr>
              <w:keepNext w:val="0"/>
              <w:keepLines w:val="0"/>
              <w:pageBreakBefore w:val="0"/>
              <w:widowControl w:val="0"/>
              <w:kinsoku/>
              <w:wordWrap/>
              <w:overflowPunct/>
              <w:topLinePunct w:val="0"/>
              <w:autoSpaceDE w:val="0"/>
              <w:autoSpaceDN w:val="0"/>
              <w:bidi w:val="0"/>
              <w:adjustRightInd w:val="0"/>
              <w:snapToGrid/>
              <w:spacing w:beforeLines="0" w:afterLines="0" w:line="579" w:lineRule="exact"/>
              <w:jc w:val="both"/>
              <w:textAlignment w:val="auto"/>
              <w:outlineLvl w:val="9"/>
              <w:rPr>
                <w:rFonts w:hint="eastAsia" w:ascii="FangSong_GB2312" w:hAnsi="FangSong_GB2312" w:eastAsia="FangSong_GB2312" w:cs="Times New Roman"/>
                <w:color w:val="auto"/>
                <w:sz w:val="32"/>
                <w:szCs w:val="22"/>
              </w:rPr>
            </w:pPr>
            <w:r>
              <w:rPr>
                <w:rFonts w:hint="eastAsia" w:ascii="FangSong_GB2312" w:hAnsi="FangSong_GB2312" w:eastAsia="FangSong_GB2312" w:cs="Times New Roman"/>
                <w:color w:val="auto"/>
                <w:sz w:val="32"/>
                <w:szCs w:val="22"/>
              </w:rPr>
              <w:t>      （二）拟订社会团体、社会服务机构等社会组织登记管理和监督管理办法并组织实施。依法对社会团体、社会服务机构等社会组织进行登记管理和执法监督。指导各区社会组织登记管理工作，指导并监督管理所属社会组织党建工作。</w:t>
            </w:r>
          </w:p>
          <w:p>
            <w:pPr>
              <w:keepNext w:val="0"/>
              <w:keepLines w:val="0"/>
              <w:pageBreakBefore w:val="0"/>
              <w:widowControl w:val="0"/>
              <w:kinsoku/>
              <w:wordWrap/>
              <w:overflowPunct/>
              <w:topLinePunct w:val="0"/>
              <w:autoSpaceDE w:val="0"/>
              <w:autoSpaceDN w:val="0"/>
              <w:bidi w:val="0"/>
              <w:adjustRightInd w:val="0"/>
              <w:snapToGrid/>
              <w:spacing w:beforeLines="0" w:afterLines="0" w:line="579" w:lineRule="exact"/>
              <w:ind w:firstLine="640"/>
              <w:jc w:val="both"/>
              <w:textAlignment w:val="auto"/>
              <w:outlineLvl w:val="9"/>
              <w:rPr>
                <w:rFonts w:hint="eastAsia" w:ascii="FangSong_GB2312" w:hAnsi="FangSong_GB2312" w:eastAsia="FangSong_GB2312" w:cs="Times New Roman"/>
                <w:color w:val="auto"/>
                <w:sz w:val="32"/>
                <w:szCs w:val="22"/>
              </w:rPr>
            </w:pPr>
            <w:r>
              <w:rPr>
                <w:rFonts w:hint="eastAsia" w:ascii="FangSong_GB2312" w:hAnsi="FangSong_GB2312" w:eastAsia="FangSong_GB2312" w:cs="Times New Roman"/>
                <w:color w:val="auto"/>
                <w:sz w:val="32"/>
                <w:szCs w:val="22"/>
              </w:rPr>
              <w:t>（三）拟订社会救助政策、标准，统筹社会救助体系建设，负责城乡居民最低生活保障、特困人员救助供养、临时救助和生活无着流浪乞讨人员救助管理工作。</w:t>
            </w:r>
          </w:p>
          <w:p>
            <w:pPr>
              <w:keepNext w:val="0"/>
              <w:keepLines w:val="0"/>
              <w:pageBreakBefore w:val="0"/>
              <w:widowControl w:val="0"/>
              <w:kinsoku/>
              <w:wordWrap/>
              <w:overflowPunct/>
              <w:topLinePunct w:val="0"/>
              <w:autoSpaceDE w:val="0"/>
              <w:autoSpaceDN w:val="0"/>
              <w:bidi w:val="0"/>
              <w:adjustRightInd w:val="0"/>
              <w:snapToGrid/>
              <w:spacing w:beforeLines="0" w:afterLines="0" w:line="579" w:lineRule="exact"/>
              <w:ind w:firstLine="640"/>
              <w:jc w:val="both"/>
              <w:textAlignment w:val="auto"/>
              <w:outlineLvl w:val="9"/>
              <w:rPr>
                <w:rFonts w:hint="eastAsia" w:ascii="FangSong_GB2312" w:hAnsi="FangSong_GB2312" w:eastAsia="FangSong_GB2312" w:cs="Times New Roman"/>
                <w:color w:val="auto"/>
                <w:sz w:val="32"/>
                <w:szCs w:val="22"/>
              </w:rPr>
            </w:pPr>
            <w:r>
              <w:rPr>
                <w:rFonts w:hint="eastAsia" w:ascii="FangSong_GB2312" w:hAnsi="FangSong_GB2312" w:eastAsia="FangSong_GB2312" w:cs="Times New Roman"/>
                <w:color w:val="auto"/>
                <w:sz w:val="32"/>
                <w:szCs w:val="22"/>
              </w:rPr>
              <w:t>（四）拟订城乡基层群众自治建设和社区治理政策并组织实施，指导城乡社区治理体系和治理能力建设。提出加强和改进基层政权建设的建议，推动基层民主政治建设。</w:t>
            </w:r>
          </w:p>
          <w:p>
            <w:pPr>
              <w:keepNext w:val="0"/>
              <w:keepLines w:val="0"/>
              <w:pageBreakBefore w:val="0"/>
              <w:widowControl w:val="0"/>
              <w:kinsoku/>
              <w:wordWrap/>
              <w:overflowPunct/>
              <w:topLinePunct w:val="0"/>
              <w:autoSpaceDE w:val="0"/>
              <w:autoSpaceDN w:val="0"/>
              <w:bidi w:val="0"/>
              <w:adjustRightInd w:val="0"/>
              <w:snapToGrid/>
              <w:spacing w:beforeLines="0" w:afterLines="0" w:line="579" w:lineRule="exact"/>
              <w:ind w:firstLine="640"/>
              <w:jc w:val="both"/>
              <w:textAlignment w:val="auto"/>
              <w:outlineLvl w:val="9"/>
              <w:rPr>
                <w:rFonts w:hint="eastAsia" w:ascii="FangSong_GB2312" w:hAnsi="FangSong_GB2312" w:eastAsia="FangSong_GB2312" w:cs="Times New Roman"/>
                <w:color w:val="auto"/>
                <w:sz w:val="32"/>
                <w:szCs w:val="22"/>
              </w:rPr>
            </w:pPr>
            <w:r>
              <w:rPr>
                <w:rFonts w:hint="eastAsia" w:ascii="FangSong_GB2312" w:hAnsi="FangSong_GB2312" w:eastAsia="FangSong_GB2312" w:cs="Times New Roman"/>
                <w:color w:val="auto"/>
                <w:sz w:val="32"/>
                <w:szCs w:val="22"/>
              </w:rPr>
              <w:t>（五）负责本市各级行政区划设立、命名、变更和政府驻地迁移等事项的审核报批工作。组织指导全市各级行政区域界线的勘定和管理，负责地名管理相关工作。</w:t>
            </w:r>
          </w:p>
          <w:p>
            <w:pPr>
              <w:keepNext w:val="0"/>
              <w:keepLines w:val="0"/>
              <w:pageBreakBefore w:val="0"/>
              <w:widowControl w:val="0"/>
              <w:kinsoku/>
              <w:wordWrap/>
              <w:overflowPunct/>
              <w:topLinePunct w:val="0"/>
              <w:autoSpaceDE w:val="0"/>
              <w:autoSpaceDN w:val="0"/>
              <w:bidi w:val="0"/>
              <w:adjustRightInd w:val="0"/>
              <w:snapToGrid/>
              <w:spacing w:beforeLines="0" w:afterLines="0" w:line="579" w:lineRule="exact"/>
              <w:ind w:firstLine="640"/>
              <w:jc w:val="both"/>
              <w:textAlignment w:val="auto"/>
              <w:outlineLvl w:val="9"/>
              <w:rPr>
                <w:rFonts w:hint="eastAsia" w:ascii="FangSong_GB2312" w:hAnsi="FangSong_GB2312" w:eastAsia="FangSong_GB2312" w:cs="Times New Roman"/>
                <w:color w:val="auto"/>
                <w:sz w:val="32"/>
                <w:szCs w:val="22"/>
              </w:rPr>
            </w:pPr>
            <w:r>
              <w:rPr>
                <w:rFonts w:hint="eastAsia" w:ascii="FangSong_GB2312" w:hAnsi="FangSong_GB2312" w:eastAsia="FangSong_GB2312" w:cs="Times New Roman"/>
                <w:color w:val="auto"/>
                <w:sz w:val="32"/>
                <w:szCs w:val="22"/>
              </w:rPr>
              <w:t>（六）负责督促指导、监督管理养老服务工作。拟订全市养老服务体系建设规划及相关标准并组织实施，承担老年人福利和特殊困难老年人救助工作。</w:t>
            </w:r>
          </w:p>
          <w:p>
            <w:pPr>
              <w:keepNext w:val="0"/>
              <w:keepLines w:val="0"/>
              <w:pageBreakBefore w:val="0"/>
              <w:widowControl w:val="0"/>
              <w:kinsoku/>
              <w:wordWrap/>
              <w:overflowPunct/>
              <w:topLinePunct w:val="0"/>
              <w:autoSpaceDE w:val="0"/>
              <w:autoSpaceDN w:val="0"/>
              <w:bidi w:val="0"/>
              <w:adjustRightInd w:val="0"/>
              <w:snapToGrid/>
              <w:spacing w:beforeLines="0" w:afterLines="0" w:line="579" w:lineRule="exact"/>
              <w:ind w:firstLine="640"/>
              <w:jc w:val="both"/>
              <w:textAlignment w:val="auto"/>
              <w:outlineLvl w:val="9"/>
              <w:rPr>
                <w:rFonts w:hint="eastAsia" w:ascii="FangSong_GB2312" w:hAnsi="FangSong_GB2312" w:eastAsia="FangSong_GB2312" w:cs="Times New Roman"/>
                <w:color w:val="auto"/>
                <w:sz w:val="32"/>
                <w:szCs w:val="22"/>
              </w:rPr>
            </w:pPr>
            <w:r>
              <w:rPr>
                <w:rFonts w:hint="eastAsia" w:ascii="FangSong_GB2312" w:hAnsi="FangSong_GB2312" w:eastAsia="FangSong_GB2312" w:cs="Times New Roman"/>
                <w:color w:val="auto"/>
                <w:sz w:val="32"/>
                <w:szCs w:val="22"/>
              </w:rPr>
              <w:t>（七）拟订残疾人权益保护政策并组织实施，指导民政救济对象精神病人救治的相关工作。负责民政领域残疾人服务机构的监督管理。指导残疾人等特殊群体的权益保障工作。拟订儿童福利、孤弃儿童保障、儿童收养、儿童救助保护政策并组织实施。健全农村留守儿童关爱服务体系和困境儿童保障制度。拟订促进慈善事业发展政策和慈善信托、慈善组织及其活动管理办法并组织实施。指导慈善行业组织，弘扬慈善文化，开展慈善宣传，指导社会捐助工作。监督管理福利彩票代销工作。</w:t>
            </w:r>
          </w:p>
          <w:p>
            <w:pPr>
              <w:keepNext w:val="0"/>
              <w:keepLines w:val="0"/>
              <w:pageBreakBefore w:val="0"/>
              <w:widowControl w:val="0"/>
              <w:kinsoku/>
              <w:wordWrap/>
              <w:overflowPunct/>
              <w:topLinePunct w:val="0"/>
              <w:autoSpaceDE w:val="0"/>
              <w:autoSpaceDN w:val="0"/>
              <w:bidi w:val="0"/>
              <w:adjustRightInd w:val="0"/>
              <w:snapToGrid/>
              <w:spacing w:beforeLines="0" w:afterLines="0" w:line="579" w:lineRule="exact"/>
              <w:ind w:firstLine="640"/>
              <w:jc w:val="both"/>
              <w:textAlignment w:val="auto"/>
              <w:outlineLvl w:val="9"/>
              <w:rPr>
                <w:rFonts w:hint="eastAsia" w:ascii="FangSong_GB2312" w:hAnsi="FangSong_GB2312" w:eastAsia="FangSong_GB2312" w:cs="Times New Roman"/>
                <w:color w:val="auto"/>
                <w:sz w:val="32"/>
                <w:szCs w:val="22"/>
              </w:rPr>
            </w:pPr>
            <w:r>
              <w:rPr>
                <w:rFonts w:hint="eastAsia" w:ascii="FangSong_GB2312" w:hAnsi="FangSong_GB2312" w:eastAsia="FangSong_GB2312" w:cs="Times New Roman"/>
                <w:color w:val="auto"/>
                <w:sz w:val="32"/>
                <w:szCs w:val="22"/>
              </w:rPr>
              <w:t>（八）指导全市婚姻登记、儿童收养登记管理工作，办理并指导涉外和涉台、港、澳、侨的婚姻登记、儿童收养登记工作，推进婚俗改革。</w:t>
            </w:r>
          </w:p>
          <w:p>
            <w:pPr>
              <w:keepNext w:val="0"/>
              <w:keepLines w:val="0"/>
              <w:pageBreakBefore w:val="0"/>
              <w:widowControl w:val="0"/>
              <w:kinsoku/>
              <w:wordWrap/>
              <w:overflowPunct/>
              <w:topLinePunct w:val="0"/>
              <w:autoSpaceDE w:val="0"/>
              <w:autoSpaceDN w:val="0"/>
              <w:bidi w:val="0"/>
              <w:adjustRightInd w:val="0"/>
              <w:snapToGrid/>
              <w:spacing w:beforeLines="0" w:afterLines="0" w:line="579" w:lineRule="exact"/>
              <w:ind w:firstLine="640"/>
              <w:jc w:val="both"/>
              <w:textAlignment w:val="auto"/>
              <w:outlineLvl w:val="9"/>
              <w:rPr>
                <w:rFonts w:hint="eastAsia" w:ascii="FangSong_GB2312" w:hAnsi="FangSong_GB2312" w:eastAsia="FangSong_GB2312" w:cs="Times New Roman"/>
                <w:color w:val="auto"/>
                <w:sz w:val="32"/>
                <w:szCs w:val="22"/>
              </w:rPr>
            </w:pPr>
            <w:r>
              <w:rPr>
                <w:rFonts w:hint="eastAsia" w:ascii="FangSong_GB2312" w:hAnsi="FangSong_GB2312" w:eastAsia="FangSong_GB2312" w:cs="Times New Roman"/>
                <w:color w:val="auto"/>
                <w:sz w:val="32"/>
                <w:szCs w:val="22"/>
              </w:rPr>
              <w:t>（九）负责全市殡葬管理工作，推行殡葬改革，指导殡葬服务机构工作。</w:t>
            </w:r>
          </w:p>
          <w:p>
            <w:pPr>
              <w:keepNext w:val="0"/>
              <w:keepLines w:val="0"/>
              <w:pageBreakBefore w:val="0"/>
              <w:widowControl w:val="0"/>
              <w:kinsoku/>
              <w:wordWrap/>
              <w:overflowPunct/>
              <w:topLinePunct w:val="0"/>
              <w:autoSpaceDE w:val="0"/>
              <w:autoSpaceDN w:val="0"/>
              <w:bidi w:val="0"/>
              <w:adjustRightInd w:val="0"/>
              <w:snapToGrid/>
              <w:spacing w:beforeLines="0" w:afterLines="0" w:line="579" w:lineRule="exact"/>
              <w:ind w:firstLine="640"/>
              <w:jc w:val="both"/>
              <w:textAlignment w:val="auto"/>
              <w:outlineLvl w:val="9"/>
              <w:rPr>
                <w:rFonts w:hint="eastAsia" w:ascii="FangSong_GB2312" w:hAnsi="FangSong_GB2312" w:eastAsia="FangSong_GB2312" w:cs="Times New Roman"/>
                <w:color w:val="auto"/>
                <w:sz w:val="32"/>
                <w:szCs w:val="22"/>
              </w:rPr>
            </w:pPr>
            <w:r>
              <w:rPr>
                <w:rFonts w:hint="eastAsia" w:ascii="FangSong_GB2312" w:hAnsi="FangSong_GB2312" w:eastAsia="FangSong_GB2312" w:cs="Times New Roman"/>
                <w:color w:val="auto"/>
                <w:sz w:val="32"/>
                <w:szCs w:val="22"/>
              </w:rPr>
              <w:t>（十）指导全市革命老区建设工作，协调扶持革命老区经济社会发展，协调办理老区建设相关事务，承办老区扶建项目资金审核，负责革命“五老”人员及其遗偶优待管理工作，联系和指导市老区建设促进会工作。</w:t>
            </w:r>
          </w:p>
          <w:p>
            <w:pPr>
              <w:keepNext w:val="0"/>
              <w:keepLines w:val="0"/>
              <w:pageBreakBefore w:val="0"/>
              <w:widowControl w:val="0"/>
              <w:kinsoku/>
              <w:wordWrap/>
              <w:overflowPunct/>
              <w:topLinePunct w:val="0"/>
              <w:autoSpaceDE w:val="0"/>
              <w:autoSpaceDN w:val="0"/>
              <w:bidi w:val="0"/>
              <w:adjustRightInd w:val="0"/>
              <w:snapToGrid/>
              <w:spacing w:beforeLines="0" w:afterLines="0" w:line="579" w:lineRule="exact"/>
              <w:ind w:firstLine="640"/>
              <w:jc w:val="both"/>
              <w:textAlignment w:val="auto"/>
              <w:outlineLvl w:val="9"/>
              <w:rPr>
                <w:rFonts w:hint="eastAsia" w:ascii="FangSong_GB2312" w:hAnsi="FangSong_GB2312" w:eastAsia="FangSong_GB2312" w:cs="Times New Roman"/>
                <w:color w:val="auto"/>
                <w:sz w:val="32"/>
                <w:szCs w:val="22"/>
              </w:rPr>
            </w:pPr>
            <w:r>
              <w:rPr>
                <w:rFonts w:hint="eastAsia" w:ascii="FangSong_GB2312" w:hAnsi="FangSong_GB2312" w:eastAsia="FangSong_GB2312" w:cs="Times New Roman"/>
                <w:color w:val="auto"/>
                <w:sz w:val="32"/>
                <w:szCs w:val="22"/>
              </w:rPr>
              <w:t>（十一）拟订社会工作和志愿服务政策，会同有关部门指导、协调各领域开展社会工作。会同有关部门推进社会工作人才队伍和志愿者队伍建设。</w:t>
            </w:r>
          </w:p>
          <w:p>
            <w:pPr>
              <w:keepNext w:val="0"/>
              <w:keepLines w:val="0"/>
              <w:pageBreakBefore w:val="0"/>
              <w:widowControl w:val="0"/>
              <w:kinsoku/>
              <w:wordWrap/>
              <w:overflowPunct/>
              <w:topLinePunct w:val="0"/>
              <w:autoSpaceDE w:val="0"/>
              <w:autoSpaceDN w:val="0"/>
              <w:bidi w:val="0"/>
              <w:adjustRightInd w:val="0"/>
              <w:snapToGrid/>
              <w:spacing w:beforeLines="0" w:afterLines="0" w:line="579" w:lineRule="exact"/>
              <w:ind w:firstLine="640"/>
              <w:jc w:val="both"/>
              <w:textAlignment w:val="auto"/>
              <w:outlineLvl w:val="9"/>
              <w:rPr>
                <w:rFonts w:hint="eastAsia" w:ascii="FangSong_GB2312" w:hAnsi="FangSong_GB2312" w:eastAsia="FangSong_GB2312" w:cs="Times New Roman"/>
                <w:color w:val="auto"/>
                <w:sz w:val="32"/>
                <w:szCs w:val="22"/>
              </w:rPr>
            </w:pPr>
            <w:r>
              <w:rPr>
                <w:rFonts w:hint="eastAsia" w:ascii="FangSong_GB2312" w:hAnsi="FangSong_GB2312" w:eastAsia="FangSong_GB2312" w:cs="Times New Roman"/>
                <w:color w:val="auto"/>
                <w:sz w:val="32"/>
                <w:szCs w:val="22"/>
              </w:rPr>
              <w:t>（十二）按规定承担安全生产方面的相关职责。</w:t>
            </w:r>
          </w:p>
          <w:p>
            <w:pPr>
              <w:keepNext w:val="0"/>
              <w:keepLines w:val="0"/>
              <w:pageBreakBefore w:val="0"/>
              <w:widowControl w:val="0"/>
              <w:kinsoku/>
              <w:wordWrap/>
              <w:overflowPunct/>
              <w:topLinePunct w:val="0"/>
              <w:autoSpaceDE w:val="0"/>
              <w:autoSpaceDN w:val="0"/>
              <w:bidi w:val="0"/>
              <w:adjustRightInd w:val="0"/>
              <w:snapToGrid/>
              <w:spacing w:beforeLines="0" w:afterLines="0" w:line="579" w:lineRule="exact"/>
              <w:ind w:firstLine="640"/>
              <w:jc w:val="both"/>
              <w:textAlignment w:val="auto"/>
              <w:outlineLvl w:val="9"/>
              <w:rPr>
                <w:rFonts w:hint="eastAsia"/>
              </w:rPr>
            </w:pPr>
            <w:r>
              <w:rPr>
                <w:rFonts w:hint="eastAsia" w:ascii="FangSong_GB2312" w:hAnsi="FangSong_GB2312" w:eastAsia="FangSong_GB2312" w:cs="Times New Roman"/>
                <w:color w:val="auto"/>
                <w:sz w:val="32"/>
                <w:szCs w:val="22"/>
              </w:rPr>
              <w:t>（十三）完成市委和市政府交办的其他任务。</w:t>
            </w:r>
          </w:p>
          <w:p>
            <w:pPr>
              <w:spacing w:beforeLines="0" w:afterLines="0" w:line="555" w:lineRule="exact"/>
              <w:rPr>
                <w:rFonts w:hint="default" w:ascii="黑体" w:hAnsi="黑体" w:eastAsia="黑体"/>
                <w:sz w:val="32"/>
              </w:rPr>
            </w:pPr>
          </w:p>
          <w:p>
            <w:pPr>
              <w:spacing w:beforeLines="0" w:afterLines="0" w:line="555" w:lineRule="exact"/>
              <w:rPr>
                <w:rFonts w:hint="default" w:ascii="仿宋_GB2312" w:hAnsi="仿宋_GB2312" w:eastAsia="仿宋_GB2312"/>
                <w:sz w:val="32"/>
              </w:rPr>
            </w:pPr>
            <w:r>
              <w:rPr>
                <w:rFonts w:hint="eastAsia" w:ascii="黑体" w:hAnsi="黑体" w:eastAsia="黑体"/>
                <w:sz w:val="32"/>
              </w:rPr>
              <w:t>　　二、单位基本情况</w:t>
            </w:r>
          </w:p>
          <w:p>
            <w:pPr>
              <w:spacing w:beforeLines="0" w:afterLines="0" w:line="555" w:lineRule="exact"/>
              <w:rPr>
                <w:rFonts w:hint="eastAsia" w:ascii="仿宋_GB2312" w:hAnsi="仿宋_GB2312" w:eastAsia="仿宋_GB2312"/>
                <w:sz w:val="32"/>
              </w:rPr>
            </w:pPr>
            <w:r>
              <w:rPr>
                <w:rFonts w:hint="eastAsia" w:ascii="仿宋_GB2312" w:hAnsi="仿宋_GB2312" w:eastAsia="仿宋_GB2312"/>
                <w:sz w:val="32"/>
              </w:rPr>
              <w:t>　　厦门市民政局包</w:t>
            </w:r>
            <w:r>
              <w:rPr>
                <w:rFonts w:hint="eastAsia" w:ascii="仿宋_GB2312" w:hAnsi="仿宋_GB2312" w:eastAsia="仿宋_GB2312"/>
                <w:color w:val="auto"/>
                <w:sz w:val="32"/>
              </w:rPr>
              <w:t>括</w:t>
            </w:r>
            <w:r>
              <w:rPr>
                <w:rFonts w:hint="eastAsia" w:ascii="仿宋_GB2312" w:hAnsi="仿宋_GB2312" w:eastAsia="仿宋_GB2312"/>
                <w:color w:val="auto"/>
                <w:sz w:val="32"/>
                <w:lang w:val="en-US" w:eastAsia="zh-CN"/>
              </w:rPr>
              <w:t>11</w:t>
            </w:r>
            <w:r>
              <w:rPr>
                <w:rFonts w:hint="eastAsia" w:ascii="仿宋_GB2312" w:hAnsi="仿宋_GB2312" w:eastAsia="仿宋_GB2312"/>
                <w:color w:val="auto"/>
                <w:sz w:val="32"/>
              </w:rPr>
              <w:t>个处室，人员编制数42人，在职人数40人。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35"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rPr>
                <w:rFonts w:hint="default" w:ascii="仿宋_GB2312" w:hAnsi="仿宋_GB2312" w:eastAsia="仿宋_GB2312"/>
                <w:sz w:val="32"/>
              </w:rPr>
            </w:pPr>
            <w:r>
              <w:rPr>
                <w:rFonts w:hint="eastAsia" w:ascii="黑体" w:hAnsi="黑体" w:eastAsia="黑体"/>
                <w:sz w:val="32"/>
              </w:rPr>
              <w:t>　　三、单位主要工作任务</w:t>
            </w:r>
          </w:p>
          <w:p>
            <w:pPr>
              <w:pStyle w:val="7"/>
              <w:spacing w:line="56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sz w:val="32"/>
                <w:szCs w:val="24"/>
              </w:rPr>
              <w:t>2023年，厦门市民政局主要任务是：</w:t>
            </w:r>
            <w:r>
              <w:rPr>
                <w:rFonts w:hint="eastAsia" w:ascii="仿宋_GB2312" w:hAnsi="仿宋_GB2312" w:eastAsia="仿宋_GB2312" w:cs="仿宋_GB2312"/>
                <w:color w:val="000000"/>
                <w:kern w:val="0"/>
                <w:sz w:val="32"/>
                <w:szCs w:val="32"/>
              </w:rPr>
              <w:t>坚持以</w:t>
            </w:r>
            <w:r>
              <w:rPr>
                <w:rFonts w:ascii="仿宋_GB2312" w:hAnsi="仿宋_GB2312" w:eastAsia="仿宋_GB2312" w:cs="仿宋_GB2312"/>
                <w:color w:val="000000"/>
                <w:kern w:val="0"/>
                <w:sz w:val="32"/>
                <w:szCs w:val="32"/>
              </w:rPr>
              <w:t>习近平新时代中国特色社会主义思想</w:t>
            </w:r>
            <w:r>
              <w:rPr>
                <w:rFonts w:hint="eastAsia" w:ascii="仿宋_GB2312" w:hAnsi="仿宋_GB2312" w:eastAsia="仿宋_GB2312" w:cs="仿宋_GB2312"/>
                <w:color w:val="000000"/>
                <w:kern w:val="0"/>
                <w:sz w:val="32"/>
                <w:szCs w:val="32"/>
              </w:rPr>
              <w:t>为</w:t>
            </w:r>
            <w:r>
              <w:rPr>
                <w:rFonts w:ascii="仿宋_GB2312" w:hAnsi="仿宋_GB2312" w:eastAsia="仿宋_GB2312" w:cs="仿宋_GB2312"/>
                <w:color w:val="000000"/>
                <w:kern w:val="0"/>
                <w:sz w:val="32"/>
                <w:szCs w:val="32"/>
              </w:rPr>
              <w:t>指导，</w:t>
            </w:r>
            <w:r>
              <w:rPr>
                <w:rFonts w:hint="eastAsia" w:ascii="仿宋_GB2312" w:hAnsi="仿宋_GB2312" w:eastAsia="仿宋_GB2312" w:cs="仿宋_GB2312"/>
                <w:color w:val="000000"/>
                <w:kern w:val="0"/>
                <w:sz w:val="32"/>
                <w:szCs w:val="32"/>
              </w:rPr>
              <w:t>全面贯彻落实党的二十大精神，坚持党的全面领导，坚持以人民为中心的发展思想，坚持稳中求进工作总基调，完整、准确、全面贯彻新发展理念，不断深化“民政工作关系民生、连着民心”重要论述的认识，深化改革、守正创新，更好统筹发展与安全，更好履行基本民生保障、基层社会治理、基本社会服务等职责，不断增进民生福祉，促进共同富裕，在新时代新征程谱写厦门民政事业新篇章，为厦门率先实现社会主义现代化作出新的更大贡献。</w:t>
            </w:r>
            <w:r>
              <w:rPr>
                <w:rFonts w:hint="eastAsia" w:ascii="仿宋_GB2312" w:hAnsi="仿宋" w:eastAsia="仿宋_GB2312"/>
                <w:sz w:val="32"/>
                <w:szCs w:val="32"/>
              </w:rPr>
              <w:t>围绕上述任务，重点抓好以下工作：</w:t>
            </w:r>
          </w:p>
          <w:p>
            <w:pPr>
              <w:pStyle w:val="7"/>
              <w:spacing w:line="560" w:lineRule="exact"/>
              <w:ind w:firstLine="640" w:firstLineChars="200"/>
              <w:rPr>
                <w:rFonts w:hint="eastAsia" w:ascii="仿宋_GB2312" w:hAnsi="仿宋_GB2312" w:eastAsia="仿宋_GB2312" w:cs="仿宋_GB2312"/>
                <w:sz w:val="32"/>
                <w:szCs w:val="32"/>
              </w:rPr>
            </w:pPr>
            <w:r>
              <w:rPr>
                <w:rFonts w:hint="eastAsia" w:ascii="楷体_GB2312" w:hAnsi="楷体" w:eastAsia="楷体_GB2312" w:cs="楷体"/>
                <w:bCs/>
                <w:color w:val="000000"/>
                <w:kern w:val="0"/>
                <w:sz w:val="32"/>
                <w:szCs w:val="32"/>
              </w:rPr>
              <w:t>（一）分层分类的救助体系实现新提升</w:t>
            </w:r>
            <w:r>
              <w:rPr>
                <w:rFonts w:hint="eastAsia" w:ascii="楷体_GB2312" w:hAnsi="仿宋_GB2312" w:eastAsia="楷体_GB2312" w:cs="仿宋_GB2312"/>
                <w:color w:val="000000"/>
                <w:kern w:val="0"/>
                <w:sz w:val="32"/>
                <w:szCs w:val="32"/>
              </w:rPr>
              <w:t>。</w:t>
            </w:r>
            <w:r>
              <w:rPr>
                <w:rFonts w:hint="eastAsia" w:ascii="仿宋_GB2312" w:hAnsi="仿宋_GB2312" w:eastAsia="仿宋_GB2312" w:cs="仿宋_GB2312"/>
                <w:sz w:val="32"/>
                <w:szCs w:val="32"/>
              </w:rPr>
              <w:t>改革完善社会救助制度体系</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强化低收入人口动态监测</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发展服务类社会救助。</w:t>
            </w:r>
          </w:p>
          <w:p>
            <w:pPr>
              <w:pStyle w:val="7"/>
              <w:spacing w:line="560" w:lineRule="exact"/>
              <w:ind w:firstLine="640" w:firstLineChars="200"/>
              <w:rPr>
                <w:rFonts w:hint="eastAsia" w:ascii="仿宋_GB2312" w:hAnsi="仿宋_GB2312" w:eastAsia="仿宋_GB2312" w:cs="仿宋_GB2312"/>
                <w:sz w:val="32"/>
                <w:szCs w:val="32"/>
              </w:rPr>
            </w:pPr>
            <w:r>
              <w:rPr>
                <w:rFonts w:hint="eastAsia" w:ascii="楷体_GB2312" w:hAnsi="楷体" w:eastAsia="楷体_GB2312" w:cs="楷体"/>
                <w:bCs/>
                <w:color w:val="000000"/>
                <w:kern w:val="0"/>
                <w:sz w:val="32"/>
                <w:szCs w:val="32"/>
              </w:rPr>
              <w:t>（二）儿童福利和未成年保护展现新作为。</w:t>
            </w:r>
            <w:r>
              <w:rPr>
                <w:rFonts w:hint="eastAsia" w:ascii="仿宋_GB2312" w:hAnsi="仿宋_GB2312" w:eastAsia="仿宋_GB2312" w:cs="仿宋_GB2312"/>
                <w:sz w:val="32"/>
                <w:szCs w:val="32"/>
              </w:rPr>
              <w:t>进一步健全未成年人保护体系</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持续营造关爱保护未成年人健康成长的浓厚氛围。</w:t>
            </w:r>
          </w:p>
          <w:p>
            <w:pPr>
              <w:pStyle w:val="7"/>
              <w:spacing w:line="560" w:lineRule="exact"/>
              <w:ind w:firstLine="640" w:firstLineChars="200"/>
              <w:rPr>
                <w:rFonts w:eastAsia="仿宋_GB2312"/>
                <w:sz w:val="32"/>
                <w:szCs w:val="22"/>
              </w:rPr>
            </w:pPr>
            <w:r>
              <w:rPr>
                <w:rFonts w:hint="eastAsia" w:ascii="楷体_GB2312" w:hAnsi="楷体" w:eastAsia="楷体_GB2312" w:cs="楷体"/>
                <w:bCs/>
                <w:color w:val="000000"/>
                <w:kern w:val="0"/>
                <w:sz w:val="32"/>
                <w:szCs w:val="32"/>
              </w:rPr>
              <w:t>（三）养老事业和产业发展创造新业绩。</w:t>
            </w:r>
            <w:r>
              <w:rPr>
                <w:rFonts w:hint="eastAsia" w:eastAsia="仿宋_GB2312"/>
                <w:sz w:val="32"/>
                <w:szCs w:val="22"/>
              </w:rPr>
              <w:t>持续推进居家和社区基本养老服务提升行动项目，推动养老产业发展，鼓励养老服务机构扩大服务规模、提升服务品质。完善全市智慧养老信息平台建设，优化养老信息化考核标准，推广使用智能化适老产品。</w:t>
            </w:r>
          </w:p>
          <w:p>
            <w:pPr>
              <w:spacing w:line="560" w:lineRule="exact"/>
              <w:ind w:firstLine="640" w:firstLineChars="200"/>
              <w:rPr>
                <w:rFonts w:hint="eastAsia" w:ascii="仿宋_GB2312" w:hAnsi="仿宋_GB2312" w:eastAsia="仿宋_GB2312" w:cs="仿宋_GB2312"/>
                <w:sz w:val="32"/>
                <w:szCs w:val="32"/>
                <w:highlight w:val="green"/>
                <w:lang w:eastAsia="zh-CN"/>
              </w:rPr>
            </w:pPr>
            <w:r>
              <w:rPr>
                <w:rFonts w:hint="eastAsia" w:ascii="楷体_GB2312" w:hAnsi="楷体" w:eastAsia="楷体_GB2312" w:cs="楷体"/>
                <w:bCs/>
                <w:color w:val="000000"/>
                <w:kern w:val="0"/>
                <w:sz w:val="32"/>
                <w:szCs w:val="32"/>
              </w:rPr>
              <w:t>（四）城乡基层治理现代化取得新成效。</w:t>
            </w:r>
            <w:r>
              <w:rPr>
                <w:rFonts w:hint="eastAsia" w:eastAsia="仿宋_GB2312"/>
                <w:sz w:val="32"/>
              </w:rPr>
              <w:t>聚焦</w:t>
            </w:r>
            <w:r>
              <w:rPr>
                <w:rFonts w:hint="eastAsia" w:ascii="Times New Roman" w:hAnsi="Times New Roman" w:eastAsia="仿宋_GB2312"/>
                <w:sz w:val="32"/>
              </w:rPr>
              <w:t>基层治理体系和治理能力现代化</w:t>
            </w:r>
            <w:r>
              <w:rPr>
                <w:rFonts w:hint="eastAsia" w:eastAsia="仿宋_GB2312"/>
                <w:sz w:val="32"/>
              </w:rPr>
              <w:t>建设</w:t>
            </w:r>
            <w:r>
              <w:rPr>
                <w:rFonts w:hint="eastAsia" w:ascii="Times New Roman" w:hAnsi="Times New Roman" w:eastAsia="仿宋_GB2312"/>
                <w:sz w:val="32"/>
              </w:rPr>
              <w:t>，做好规范村（居）民委员会建设、健全村（居）民自治机制</w:t>
            </w:r>
            <w:r>
              <w:rPr>
                <w:rFonts w:hint="eastAsia" w:ascii="Times New Roman" w:hAnsi="Times New Roman" w:eastAsia="仿宋_GB2312"/>
                <w:sz w:val="32"/>
                <w:lang w:eastAsia="zh-CN"/>
              </w:rPr>
              <w:t>。</w:t>
            </w:r>
          </w:p>
          <w:p>
            <w:pPr>
              <w:pStyle w:val="7"/>
              <w:spacing w:line="560" w:lineRule="exact"/>
              <w:ind w:firstLine="640" w:firstLineChars="200"/>
              <w:rPr>
                <w:rFonts w:hint="eastAsia" w:ascii="仿宋_GB2312" w:hAnsi="仿宋_GB2312" w:eastAsia="仿宋_GB2312" w:cs="仿宋_GB2312"/>
                <w:sz w:val="32"/>
                <w:szCs w:val="32"/>
                <w:highlight w:val="green"/>
              </w:rPr>
            </w:pPr>
            <w:r>
              <w:rPr>
                <w:rFonts w:hint="eastAsia" w:ascii="楷体_GB2312" w:hAnsi="楷体" w:eastAsia="楷体_GB2312" w:cs="楷体"/>
                <w:bCs/>
                <w:color w:val="000000"/>
                <w:kern w:val="0"/>
                <w:sz w:val="32"/>
                <w:szCs w:val="32"/>
              </w:rPr>
              <w:t>（五）社会组织管理和效益打开新局面。</w:t>
            </w:r>
            <w:bookmarkStart w:id="0" w:name="_Hlk116224823"/>
            <w:r>
              <w:rPr>
                <w:rFonts w:hint="eastAsia" w:ascii="仿宋_GB2312" w:hAnsi="仿宋_GB2312" w:eastAsia="仿宋_GB2312" w:cs="仿宋_GB2312"/>
                <w:sz w:val="32"/>
                <w:szCs w:val="32"/>
              </w:rPr>
              <w:t>加强社会组织党的建设，提升社会组织“两个覆盖”质量。</w:t>
            </w:r>
            <w:bookmarkEnd w:id="0"/>
            <w:r>
              <w:rPr>
                <w:rFonts w:hint="eastAsia" w:ascii="仿宋_GB2312" w:hAnsi="仿宋_GB2312" w:eastAsia="仿宋_GB2312" w:cs="仿宋_GB2312"/>
                <w:sz w:val="32"/>
                <w:szCs w:val="32"/>
              </w:rPr>
              <w:t>探索建立专业化、社会化的第三方监督机制。推动提升审批窗口服务质量。</w:t>
            </w:r>
          </w:p>
          <w:p>
            <w:pPr>
              <w:pStyle w:val="7"/>
              <w:spacing w:line="560" w:lineRule="exact"/>
              <w:ind w:firstLine="640" w:firstLineChars="200"/>
              <w:rPr>
                <w:rFonts w:hint="eastAsia" w:ascii="仿宋_GB2312" w:hAnsi="仿宋_GB2312" w:eastAsia="仿宋_GB2312" w:cs="仿宋_GB2312"/>
                <w:sz w:val="32"/>
                <w:szCs w:val="32"/>
                <w:lang w:eastAsia="zh-CN"/>
              </w:rPr>
            </w:pPr>
            <w:r>
              <w:rPr>
                <w:rFonts w:hint="eastAsia" w:ascii="楷体_GB2312" w:hAnsi="楷体" w:eastAsia="楷体_GB2312" w:cs="楷体"/>
                <w:bCs/>
                <w:color w:val="000000"/>
                <w:kern w:val="0"/>
                <w:sz w:val="32"/>
                <w:szCs w:val="32"/>
              </w:rPr>
              <w:t>（六）专项社会事务服务水平取得新进步。</w:t>
            </w:r>
            <w:r>
              <w:rPr>
                <w:rFonts w:hint="eastAsia" w:ascii="仿宋_GB2312" w:hAnsi="仿宋_GB2312" w:eastAsia="仿宋_GB2312" w:cs="仿宋_GB2312"/>
                <w:sz w:val="32"/>
                <w:szCs w:val="32"/>
              </w:rPr>
              <w:t>健全救助管理机制、优化救助对象分区管理、完善救助场所建设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持续深入推进丧葬礼俗改革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深化婚姻登记“全省通办”服务</w:t>
            </w:r>
            <w:r>
              <w:rPr>
                <w:rFonts w:hint="eastAsia" w:ascii="仿宋_GB2312" w:hAnsi="仿宋_GB2312" w:eastAsia="仿宋_GB2312" w:cs="仿宋_GB2312"/>
                <w:sz w:val="32"/>
                <w:szCs w:val="32"/>
                <w:lang w:eastAsia="zh-CN"/>
              </w:rPr>
              <w:t>。</w:t>
            </w:r>
          </w:p>
          <w:p>
            <w:pPr>
              <w:pStyle w:val="7"/>
              <w:spacing w:line="560" w:lineRule="exact"/>
              <w:ind w:firstLine="643" w:firstLineChars="200"/>
              <w:rPr>
                <w:rFonts w:hint="eastAsia" w:ascii="仿宋_GB2312" w:hAnsi="仿宋_GB2312" w:eastAsia="仿宋_GB2312" w:cs="仿宋_GB2312"/>
                <w:sz w:val="32"/>
                <w:szCs w:val="32"/>
              </w:rPr>
            </w:pPr>
            <w:r>
              <w:rPr>
                <w:rFonts w:hint="eastAsia" w:ascii="楷体_GB2312" w:hAnsi="楷体" w:eastAsia="楷体_GB2312" w:cs="楷体"/>
                <w:b/>
                <w:bCs/>
                <w:color w:val="000000"/>
                <w:kern w:val="0"/>
                <w:sz w:val="32"/>
                <w:szCs w:val="32"/>
              </w:rPr>
              <w:t>（</w:t>
            </w:r>
            <w:r>
              <w:rPr>
                <w:rFonts w:hint="eastAsia" w:ascii="楷体_GB2312" w:hAnsi="楷体" w:eastAsia="楷体_GB2312" w:cs="楷体"/>
                <w:bCs/>
                <w:color w:val="000000"/>
                <w:kern w:val="0"/>
                <w:sz w:val="32"/>
                <w:szCs w:val="32"/>
              </w:rPr>
              <w:t>七）慈善事业和社工建设取得新成效。</w:t>
            </w:r>
            <w:r>
              <w:rPr>
                <w:rFonts w:hint="eastAsia" w:ascii="仿宋_GB2312" w:hAnsi="仿宋_GB2312" w:eastAsia="仿宋_GB2312" w:cs="仿宋_GB2312"/>
                <w:sz w:val="32"/>
                <w:szCs w:val="32"/>
              </w:rPr>
              <w:t>完善社会工作发展制度，开展社会工作者能力提升系列培训</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推进街道（镇）社工站建设规范化、专业化。发挥慈善事业第三次分配作用，依法履行志愿服务行政管理职能，强化福彩宣传，塑造福彩公益品牌形象。</w:t>
            </w:r>
          </w:p>
          <w:p>
            <w:pPr>
              <w:pStyle w:val="7"/>
              <w:spacing w:line="560" w:lineRule="exact"/>
              <w:ind w:firstLine="640" w:firstLineChars="200"/>
              <w:rPr>
                <w:rFonts w:hint="eastAsia" w:ascii="仿宋_GB2312" w:hAnsi="仿宋_GB2312" w:eastAsia="仿宋_GB2312" w:cs="仿宋_GB2312"/>
                <w:sz w:val="32"/>
                <w:szCs w:val="32"/>
              </w:rPr>
            </w:pPr>
            <w:r>
              <w:rPr>
                <w:rFonts w:hint="eastAsia" w:ascii="楷体_GB2312" w:hAnsi="楷体" w:eastAsia="楷体_GB2312" w:cs="楷体"/>
                <w:bCs/>
                <w:color w:val="000000"/>
                <w:kern w:val="0"/>
                <w:sz w:val="32"/>
                <w:szCs w:val="32"/>
              </w:rPr>
              <w:t>（八）区划和地名管理能力实现新跃升。</w:t>
            </w:r>
            <w:r>
              <w:rPr>
                <w:rFonts w:hint="eastAsia" w:ascii="仿宋_GB2312" w:hAnsi="仿宋_GB2312" w:eastAsia="仿宋_GB2312" w:cs="仿宋_GB2312"/>
                <w:sz w:val="32"/>
                <w:szCs w:val="32"/>
              </w:rPr>
              <w:t>切实提升地名管理。贯彻落实《地名管理条例》，进一步深化《厦门市地名管理规定》的修订调研，组织做好全市地名专项规划编制。稳妥推进区划调整。组织开展同安区镇（街）行政区划调整实施情况评估监督。</w:t>
            </w:r>
          </w:p>
          <w:p>
            <w:pPr>
              <w:pStyle w:val="7"/>
              <w:spacing w:line="560" w:lineRule="exact"/>
              <w:ind w:firstLine="640" w:firstLineChars="200"/>
              <w:rPr>
                <w:rFonts w:ascii="方正仿宋_GBK" w:hAnsi="方正仿宋_GBK" w:eastAsia="方正仿宋_GBK" w:cs="方正仿宋_GBK"/>
                <w:sz w:val="32"/>
                <w:szCs w:val="32"/>
              </w:rPr>
            </w:pPr>
            <w:r>
              <w:rPr>
                <w:rFonts w:hint="eastAsia" w:ascii="楷体_GB2312" w:hAnsi="楷体" w:eastAsia="楷体_GB2312" w:cs="楷体"/>
                <w:bCs/>
                <w:color w:val="000000"/>
                <w:kern w:val="0"/>
                <w:sz w:val="32"/>
                <w:szCs w:val="32"/>
              </w:rPr>
              <w:t>（九）民政系统履职能力建设迈上新台阶。</w:t>
            </w:r>
            <w:r>
              <w:rPr>
                <w:rFonts w:hint="eastAsia" w:hAnsi="仿宋_GB2312" w:eastAsia="仿宋_GB2312" w:cs="仿宋_GB2312"/>
                <w:color w:val="000000"/>
                <w:kern w:val="0"/>
                <w:sz w:val="32"/>
                <w:szCs w:val="32"/>
              </w:rPr>
              <w:t>从软硬件两方面提高民政系统能力建设。持续优化完善智慧民政一体化平台项目建设内容，提升民政对内外事务办理信息化水平。</w:t>
            </w:r>
          </w:p>
          <w:p>
            <w:pPr>
              <w:spacing w:beforeLines="0" w:afterLines="0" w:line="555" w:lineRule="exact"/>
              <w:rPr>
                <w:rFonts w:hint="eastAsia" w:ascii="仿宋_GB2312" w:hAnsi="仿宋_GB2312" w:eastAsia="仿宋_GB2312"/>
                <w:sz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1"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ind w:left="20"/>
              <w:jc w:val="center"/>
              <w:rPr>
                <w:rFonts w:hint="eastAsia" w:ascii="黑体" w:hAnsi="黑体" w:eastAsia="黑体"/>
                <w:sz w:val="32"/>
              </w:rPr>
            </w:pPr>
            <w:r>
              <w:rPr>
                <w:rFonts w:hint="eastAsia" w:ascii="黑体" w:hAnsi="黑体" w:eastAsia="黑体"/>
                <w:sz w:val="32"/>
              </w:rPr>
              <w:t>第二部分  2023年单位预算说明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47"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rPr>
                <w:rFonts w:hint="default" w:ascii="仿宋_GB2312" w:hAnsi="仿宋_GB2312" w:eastAsia="仿宋_GB2312"/>
                <w:sz w:val="32"/>
              </w:rPr>
            </w:pPr>
            <w:r>
              <w:rPr>
                <w:rFonts w:hint="eastAsia" w:ascii="黑体" w:hAnsi="黑体" w:eastAsia="黑体"/>
                <w:sz w:val="32"/>
              </w:rPr>
              <w:t>　　一、2023年单位预算收支总体情况</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根据预算管理的有关规定，单位的全部收入和支出均纳入部门预算管理。</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（一）厦门市民政局2023年收入预算为</w:t>
            </w:r>
            <w:r>
              <w:rPr>
                <w:rFonts w:hint="eastAsia" w:ascii="仿宋_GB2312" w:hAnsi="仿宋_GB2312" w:eastAsia="仿宋_GB2312"/>
                <w:sz w:val="32"/>
                <w:lang w:val="en-US" w:eastAsia="zh-CN"/>
              </w:rPr>
              <w:t>6</w:t>
            </w:r>
            <w:r>
              <w:rPr>
                <w:rFonts w:hint="eastAsia" w:ascii="仿宋_GB2312" w:hAnsi="仿宋_GB2312" w:eastAsia="仿宋_GB2312"/>
                <w:sz w:val="32"/>
              </w:rPr>
              <w:t>,</w:t>
            </w:r>
            <w:r>
              <w:rPr>
                <w:rFonts w:hint="eastAsia" w:ascii="仿宋_GB2312" w:hAnsi="仿宋_GB2312" w:eastAsia="仿宋_GB2312"/>
                <w:sz w:val="32"/>
                <w:lang w:val="en-US" w:eastAsia="zh-CN"/>
              </w:rPr>
              <w:t>276</w:t>
            </w:r>
            <w:r>
              <w:rPr>
                <w:rFonts w:hint="eastAsia" w:ascii="仿宋_GB2312" w:hAnsi="仿宋_GB2312" w:eastAsia="仿宋_GB2312"/>
                <w:sz w:val="32"/>
              </w:rPr>
              <w:t>.</w:t>
            </w:r>
            <w:r>
              <w:rPr>
                <w:rFonts w:hint="eastAsia" w:ascii="仿宋_GB2312" w:hAnsi="仿宋_GB2312" w:eastAsia="仿宋_GB2312"/>
                <w:sz w:val="32"/>
                <w:lang w:val="en-US" w:eastAsia="zh-CN"/>
              </w:rPr>
              <w:t>76</w:t>
            </w:r>
            <w:r>
              <w:rPr>
                <w:rFonts w:hint="eastAsia" w:ascii="仿宋_GB2312" w:hAnsi="仿宋_GB2312" w:eastAsia="仿宋_GB2312"/>
                <w:sz w:val="32"/>
              </w:rPr>
              <w:t>万元，比2022年预算数增加</w:t>
            </w:r>
            <w:r>
              <w:rPr>
                <w:rFonts w:hint="eastAsia" w:ascii="仿宋_GB2312" w:hAnsi="仿宋_GB2312" w:eastAsia="仿宋_GB2312"/>
                <w:color w:val="auto"/>
                <w:sz w:val="32"/>
                <w:lang w:val="en-US" w:eastAsia="zh-CN"/>
              </w:rPr>
              <w:t>81.17</w:t>
            </w:r>
            <w:r>
              <w:rPr>
                <w:rFonts w:hint="eastAsia" w:ascii="仿宋_GB2312" w:hAnsi="仿宋_GB2312" w:eastAsia="仿宋_GB2312"/>
                <w:color w:val="auto"/>
                <w:sz w:val="32"/>
              </w:rPr>
              <w:t>万元，增长</w:t>
            </w:r>
            <w:r>
              <w:rPr>
                <w:rFonts w:hint="eastAsia" w:ascii="仿宋_GB2312" w:hAnsi="仿宋_GB2312" w:eastAsia="仿宋_GB2312"/>
                <w:color w:val="auto"/>
                <w:sz w:val="32"/>
                <w:lang w:val="en-US" w:eastAsia="zh-CN"/>
              </w:rPr>
              <w:t>1.31</w:t>
            </w:r>
            <w:r>
              <w:rPr>
                <w:rFonts w:hint="eastAsia" w:ascii="仿宋_GB2312" w:hAnsi="仿宋_GB2312" w:eastAsia="仿宋_GB2312"/>
                <w:sz w:val="32"/>
              </w:rPr>
              <w:t>％，具体情况如下：</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1.财政拨款收入</w:t>
            </w:r>
            <w:r>
              <w:rPr>
                <w:rFonts w:hint="eastAsia" w:ascii="仿宋_GB2312" w:hAnsi="仿宋_GB2312" w:eastAsia="仿宋_GB2312"/>
                <w:sz w:val="32"/>
                <w:lang w:val="en-US" w:eastAsia="zh-CN"/>
              </w:rPr>
              <w:t>6</w:t>
            </w:r>
            <w:r>
              <w:rPr>
                <w:rFonts w:hint="eastAsia" w:ascii="仿宋_GB2312" w:hAnsi="仿宋_GB2312" w:eastAsia="仿宋_GB2312"/>
                <w:sz w:val="32"/>
              </w:rPr>
              <w:t>,</w:t>
            </w:r>
            <w:r>
              <w:rPr>
                <w:rFonts w:hint="eastAsia" w:ascii="仿宋_GB2312" w:hAnsi="仿宋_GB2312" w:eastAsia="仿宋_GB2312"/>
                <w:sz w:val="32"/>
                <w:lang w:val="en-US" w:eastAsia="zh-CN"/>
              </w:rPr>
              <w:t>206</w:t>
            </w:r>
            <w:r>
              <w:rPr>
                <w:rFonts w:hint="eastAsia" w:ascii="仿宋_GB2312" w:hAnsi="仿宋_GB2312" w:eastAsia="仿宋_GB2312"/>
                <w:sz w:val="32"/>
              </w:rPr>
              <w:t>.</w:t>
            </w:r>
            <w:r>
              <w:rPr>
                <w:rFonts w:hint="eastAsia" w:ascii="仿宋_GB2312" w:hAnsi="仿宋_GB2312" w:eastAsia="仿宋_GB2312"/>
                <w:sz w:val="32"/>
                <w:lang w:val="en-US" w:eastAsia="zh-CN"/>
              </w:rPr>
              <w:t>76</w:t>
            </w:r>
            <w:r>
              <w:rPr>
                <w:rFonts w:hint="eastAsia" w:ascii="仿宋_GB2312" w:hAnsi="仿宋_GB2312" w:eastAsia="仿宋_GB2312"/>
                <w:sz w:val="32"/>
              </w:rPr>
              <w:t>万元，其中一般公共预算拨款收入</w:t>
            </w:r>
            <w:r>
              <w:rPr>
                <w:rFonts w:hint="eastAsia" w:ascii="仿宋_GB2312" w:hAnsi="仿宋_GB2312" w:eastAsia="仿宋_GB2312"/>
                <w:sz w:val="32"/>
                <w:lang w:val="en-US" w:eastAsia="zh-CN"/>
              </w:rPr>
              <w:t>5</w:t>
            </w:r>
            <w:r>
              <w:rPr>
                <w:rFonts w:hint="eastAsia" w:ascii="仿宋_GB2312" w:hAnsi="仿宋_GB2312" w:eastAsia="仿宋_GB2312"/>
                <w:sz w:val="32"/>
              </w:rPr>
              <w:t>,</w:t>
            </w:r>
            <w:r>
              <w:rPr>
                <w:rFonts w:hint="eastAsia" w:ascii="仿宋_GB2312" w:hAnsi="仿宋_GB2312" w:eastAsia="仿宋_GB2312"/>
                <w:sz w:val="32"/>
                <w:lang w:val="en-US" w:eastAsia="zh-CN"/>
              </w:rPr>
              <w:t>028</w:t>
            </w:r>
            <w:r>
              <w:rPr>
                <w:rFonts w:hint="eastAsia" w:ascii="仿宋_GB2312" w:hAnsi="仿宋_GB2312" w:eastAsia="仿宋_GB2312"/>
                <w:sz w:val="32"/>
              </w:rPr>
              <w:t>.</w:t>
            </w:r>
            <w:r>
              <w:rPr>
                <w:rFonts w:hint="eastAsia" w:ascii="仿宋_GB2312" w:hAnsi="仿宋_GB2312" w:eastAsia="仿宋_GB2312"/>
                <w:sz w:val="32"/>
                <w:lang w:val="en-US" w:eastAsia="zh-CN"/>
              </w:rPr>
              <w:t>56</w:t>
            </w:r>
            <w:r>
              <w:rPr>
                <w:rFonts w:hint="eastAsia" w:ascii="仿宋_GB2312" w:hAnsi="仿宋_GB2312" w:eastAsia="仿宋_GB2312"/>
                <w:sz w:val="32"/>
              </w:rPr>
              <w:t>万元，政府性基金拨款收入1,178.20万元，国有资本经营预算拨款收入0.00万元；</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2.财政专户管理资金收入0.00万元；</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3.事业收入0.00万元；</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4.事业单位经营收入0.00万元；</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5.上级补助收入0.00万元；</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6.附属单位上缴收入0.00万元；</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7.其他收入70.00万元；</w:t>
            </w:r>
          </w:p>
          <w:p>
            <w:pPr>
              <w:spacing w:beforeLines="0" w:afterLines="0" w:line="555" w:lineRule="exact"/>
              <w:rPr>
                <w:rFonts w:hint="eastAsia" w:ascii="仿宋_GB2312" w:hAnsi="仿宋_GB2312" w:eastAsia="仿宋_GB2312"/>
                <w:sz w:val="32"/>
              </w:rPr>
            </w:pPr>
            <w:r>
              <w:rPr>
                <w:rFonts w:hint="eastAsia" w:ascii="仿宋_GB2312" w:hAnsi="仿宋_GB2312" w:eastAsia="仿宋_GB2312"/>
                <w:sz w:val="32"/>
              </w:rPr>
              <w:t>　　8.上年结转结余0.00万元。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63"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rPr>
                <w:rFonts w:hint="default" w:ascii="仿宋_GB2312" w:hAnsi="仿宋_GB2312" w:eastAsia="仿宋_GB2312"/>
                <w:color w:val="auto"/>
                <w:sz w:val="32"/>
              </w:rPr>
            </w:pPr>
            <w:r>
              <w:rPr>
                <w:rFonts w:hint="eastAsia" w:ascii="仿宋_GB2312" w:hAnsi="仿宋_GB2312" w:eastAsia="仿宋_GB2312"/>
                <w:sz w:val="32"/>
              </w:rPr>
              <w:t>　　（二）厦门市民政局2023年支出预算为</w:t>
            </w:r>
            <w:r>
              <w:rPr>
                <w:rFonts w:hint="eastAsia" w:ascii="仿宋_GB2312" w:hAnsi="仿宋_GB2312" w:eastAsia="仿宋_GB2312"/>
                <w:sz w:val="32"/>
                <w:lang w:val="en-US" w:eastAsia="zh-CN"/>
              </w:rPr>
              <w:t>6</w:t>
            </w:r>
            <w:r>
              <w:rPr>
                <w:rFonts w:hint="eastAsia" w:ascii="仿宋_GB2312" w:hAnsi="仿宋_GB2312" w:eastAsia="仿宋_GB2312"/>
                <w:sz w:val="32"/>
              </w:rPr>
              <w:t>,</w:t>
            </w:r>
            <w:r>
              <w:rPr>
                <w:rFonts w:hint="eastAsia" w:ascii="仿宋_GB2312" w:hAnsi="仿宋_GB2312" w:eastAsia="仿宋_GB2312"/>
                <w:sz w:val="32"/>
                <w:lang w:val="en-US" w:eastAsia="zh-CN"/>
              </w:rPr>
              <w:t>276</w:t>
            </w:r>
            <w:r>
              <w:rPr>
                <w:rFonts w:hint="eastAsia" w:ascii="仿宋_GB2312" w:hAnsi="仿宋_GB2312" w:eastAsia="仿宋_GB2312"/>
                <w:sz w:val="32"/>
              </w:rPr>
              <w:t>.</w:t>
            </w:r>
            <w:r>
              <w:rPr>
                <w:rFonts w:hint="eastAsia" w:ascii="仿宋_GB2312" w:hAnsi="仿宋_GB2312" w:eastAsia="仿宋_GB2312"/>
                <w:sz w:val="32"/>
                <w:lang w:val="en-US" w:eastAsia="zh-CN"/>
              </w:rPr>
              <w:t>76</w:t>
            </w:r>
            <w:r>
              <w:rPr>
                <w:rFonts w:hint="eastAsia" w:ascii="仿宋_GB2312" w:hAnsi="仿宋_GB2312" w:eastAsia="仿宋_GB2312"/>
                <w:sz w:val="32"/>
              </w:rPr>
              <w:t>万元（不含市对区转移支付项目），比2022年预算数增加</w:t>
            </w:r>
            <w:r>
              <w:rPr>
                <w:rFonts w:hint="eastAsia" w:ascii="仿宋_GB2312" w:hAnsi="仿宋_GB2312" w:eastAsia="仿宋_GB2312"/>
                <w:color w:val="auto"/>
                <w:sz w:val="32"/>
                <w:lang w:val="en-US" w:eastAsia="zh-CN"/>
              </w:rPr>
              <w:t>81.17</w:t>
            </w:r>
            <w:r>
              <w:rPr>
                <w:rFonts w:hint="eastAsia" w:ascii="仿宋_GB2312" w:hAnsi="仿宋_GB2312" w:eastAsia="仿宋_GB2312"/>
                <w:color w:val="auto"/>
                <w:sz w:val="32"/>
              </w:rPr>
              <w:t>万元，增长</w:t>
            </w:r>
            <w:r>
              <w:rPr>
                <w:rFonts w:hint="eastAsia" w:ascii="仿宋_GB2312" w:hAnsi="仿宋_GB2312" w:eastAsia="仿宋_GB2312"/>
                <w:color w:val="auto"/>
                <w:sz w:val="32"/>
                <w:lang w:val="en-US" w:eastAsia="zh-CN"/>
              </w:rPr>
              <w:t>1.31</w:t>
            </w:r>
            <w:r>
              <w:rPr>
                <w:rFonts w:hint="eastAsia" w:ascii="仿宋_GB2312" w:hAnsi="仿宋_GB2312" w:eastAsia="仿宋_GB2312"/>
                <w:color w:val="auto"/>
                <w:sz w:val="32"/>
              </w:rPr>
              <w:t>％，具体情况如下：</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1.基本支出2,</w:t>
            </w:r>
            <w:r>
              <w:rPr>
                <w:rFonts w:hint="eastAsia" w:ascii="仿宋_GB2312" w:hAnsi="仿宋_GB2312" w:eastAsia="仿宋_GB2312"/>
                <w:sz w:val="32"/>
                <w:lang w:val="en-US" w:eastAsia="zh-CN"/>
              </w:rPr>
              <w:t>367</w:t>
            </w:r>
            <w:r>
              <w:rPr>
                <w:rFonts w:hint="eastAsia" w:ascii="仿宋_GB2312" w:hAnsi="仿宋_GB2312" w:eastAsia="仿宋_GB2312"/>
                <w:sz w:val="32"/>
              </w:rPr>
              <w:t>.</w:t>
            </w:r>
            <w:r>
              <w:rPr>
                <w:rFonts w:hint="eastAsia" w:ascii="仿宋_GB2312" w:hAnsi="仿宋_GB2312" w:eastAsia="仿宋_GB2312"/>
                <w:sz w:val="32"/>
                <w:lang w:val="en-US" w:eastAsia="zh-CN"/>
              </w:rPr>
              <w:t>59</w:t>
            </w:r>
            <w:r>
              <w:rPr>
                <w:rFonts w:hint="eastAsia" w:ascii="仿宋_GB2312" w:hAnsi="仿宋_GB2312" w:eastAsia="仿宋_GB2312"/>
                <w:sz w:val="32"/>
              </w:rPr>
              <w:t>万元，其中，人员支出1,</w:t>
            </w:r>
            <w:r>
              <w:rPr>
                <w:rFonts w:hint="eastAsia" w:ascii="仿宋_GB2312" w:hAnsi="仿宋_GB2312" w:eastAsia="仿宋_GB2312"/>
                <w:sz w:val="32"/>
                <w:lang w:val="en-US" w:eastAsia="zh-CN"/>
              </w:rPr>
              <w:t>932</w:t>
            </w:r>
            <w:r>
              <w:rPr>
                <w:rFonts w:hint="eastAsia" w:ascii="仿宋_GB2312" w:hAnsi="仿宋_GB2312" w:eastAsia="仿宋_GB2312"/>
                <w:sz w:val="32"/>
              </w:rPr>
              <w:t>.</w:t>
            </w:r>
            <w:r>
              <w:rPr>
                <w:rFonts w:hint="eastAsia" w:ascii="仿宋_GB2312" w:hAnsi="仿宋_GB2312" w:eastAsia="仿宋_GB2312"/>
                <w:sz w:val="32"/>
                <w:lang w:val="en-US" w:eastAsia="zh-CN"/>
              </w:rPr>
              <w:t>7</w:t>
            </w:r>
            <w:r>
              <w:rPr>
                <w:rFonts w:hint="eastAsia" w:ascii="仿宋_GB2312" w:hAnsi="仿宋_GB2312" w:eastAsia="仿宋_GB2312"/>
                <w:sz w:val="32"/>
              </w:rPr>
              <w:t>5万元，公用支出</w:t>
            </w:r>
            <w:r>
              <w:rPr>
                <w:rFonts w:hint="eastAsia" w:ascii="仿宋_GB2312" w:hAnsi="仿宋_GB2312" w:eastAsia="仿宋_GB2312"/>
                <w:sz w:val="32"/>
                <w:lang w:val="en-US" w:eastAsia="zh-CN"/>
              </w:rPr>
              <w:t>434</w:t>
            </w:r>
            <w:r>
              <w:rPr>
                <w:rFonts w:hint="eastAsia" w:ascii="仿宋_GB2312" w:hAnsi="仿宋_GB2312" w:eastAsia="仿宋_GB2312"/>
                <w:sz w:val="32"/>
              </w:rPr>
              <w:t>.8</w:t>
            </w:r>
            <w:r>
              <w:rPr>
                <w:rFonts w:hint="eastAsia" w:ascii="仿宋_GB2312" w:hAnsi="仿宋_GB2312" w:eastAsia="仿宋_GB2312"/>
                <w:sz w:val="32"/>
                <w:lang w:val="en-US" w:eastAsia="zh-CN"/>
              </w:rPr>
              <w:t>4</w:t>
            </w:r>
            <w:r>
              <w:rPr>
                <w:rFonts w:hint="eastAsia" w:ascii="仿宋_GB2312" w:hAnsi="仿宋_GB2312" w:eastAsia="仿宋_GB2312"/>
                <w:sz w:val="32"/>
              </w:rPr>
              <w:t>万元；</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2.项目支出3,839.17万元；</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3.非财政拨款支出70.00万元。</w:t>
            </w:r>
          </w:p>
          <w:p>
            <w:pPr>
              <w:spacing w:beforeLines="0" w:afterLines="0" w:line="555" w:lineRule="exact"/>
              <w:rPr>
                <w:rFonts w:hint="eastAsia" w:ascii="仿宋_GB2312" w:hAnsi="仿宋_GB2312" w:eastAsia="仿宋_GB2312"/>
                <w:sz w:val="32"/>
              </w:rPr>
            </w:pPr>
            <w:r>
              <w:rPr>
                <w:rFonts w:hint="eastAsia" w:ascii="仿宋_GB2312" w:hAnsi="仿宋_GB2312" w:eastAsia="仿宋_GB2312"/>
                <w:sz w:val="32"/>
              </w:rPr>
              <w:t>　　（三）厦门市民政局2023年市对区转移支付项目预算为24,076.43万元。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07"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rPr>
                <w:rFonts w:hint="default" w:ascii="仿宋_GB2312" w:hAnsi="仿宋_GB2312" w:eastAsia="仿宋_GB2312"/>
                <w:sz w:val="32"/>
              </w:rPr>
            </w:pPr>
            <w:r>
              <w:rPr>
                <w:rFonts w:hint="eastAsia" w:ascii="黑体" w:hAnsi="黑体" w:eastAsia="黑体"/>
                <w:sz w:val="32"/>
              </w:rPr>
              <w:t>　　二、一般公共预算财政拨款支出预算情况</w:t>
            </w:r>
          </w:p>
          <w:p>
            <w:pPr>
              <w:spacing w:beforeLines="0" w:afterLines="0" w:line="555" w:lineRule="exact"/>
              <w:rPr>
                <w:rFonts w:hint="eastAsia" w:ascii="仿宋" w:hAnsi="仿宋" w:eastAsia="仿宋"/>
                <w:sz w:val="32"/>
              </w:rPr>
            </w:pPr>
            <w:r>
              <w:rPr>
                <w:rFonts w:hint="eastAsia" w:ascii="仿宋_GB2312" w:hAnsi="仿宋_GB2312" w:eastAsia="仿宋_GB2312"/>
                <w:sz w:val="32"/>
              </w:rPr>
              <w:t>　　2023年度一般公共预算支出</w:t>
            </w:r>
            <w:r>
              <w:rPr>
                <w:rFonts w:hint="eastAsia" w:ascii="仿宋_GB2312" w:hAnsi="仿宋_GB2312" w:eastAsia="仿宋_GB2312"/>
                <w:sz w:val="32"/>
                <w:lang w:val="en-US" w:eastAsia="zh-CN"/>
              </w:rPr>
              <w:t>5</w:t>
            </w:r>
            <w:r>
              <w:rPr>
                <w:rFonts w:hint="eastAsia" w:ascii="仿宋_GB2312" w:hAnsi="仿宋_GB2312" w:eastAsia="仿宋_GB2312"/>
                <w:sz w:val="32"/>
              </w:rPr>
              <w:t>,</w:t>
            </w:r>
            <w:r>
              <w:rPr>
                <w:rFonts w:hint="eastAsia" w:ascii="仿宋_GB2312" w:hAnsi="仿宋_GB2312" w:eastAsia="仿宋_GB2312"/>
                <w:sz w:val="32"/>
                <w:lang w:val="en-US" w:eastAsia="zh-CN"/>
              </w:rPr>
              <w:t>028</w:t>
            </w:r>
            <w:r>
              <w:rPr>
                <w:rFonts w:hint="eastAsia" w:ascii="仿宋_GB2312" w:hAnsi="仿宋_GB2312" w:eastAsia="仿宋_GB2312"/>
                <w:sz w:val="32"/>
              </w:rPr>
              <w:t>.</w:t>
            </w:r>
            <w:r>
              <w:rPr>
                <w:rFonts w:hint="eastAsia" w:ascii="仿宋_GB2312" w:hAnsi="仿宋_GB2312" w:eastAsia="仿宋_GB2312"/>
                <w:sz w:val="32"/>
                <w:lang w:val="en-US" w:eastAsia="zh-CN"/>
              </w:rPr>
              <w:t>56</w:t>
            </w:r>
            <w:r>
              <w:rPr>
                <w:rFonts w:hint="eastAsia" w:ascii="仿宋_GB2312" w:hAnsi="仿宋_GB2312" w:eastAsia="仿宋_GB2312"/>
                <w:sz w:val="32"/>
              </w:rPr>
              <w:t>万元（不含市对区转移支付项目），比2022年预算数增加</w:t>
            </w:r>
            <w:r>
              <w:rPr>
                <w:rFonts w:hint="eastAsia" w:ascii="仿宋_GB2312" w:hAnsi="仿宋_GB2312" w:eastAsia="仿宋_GB2312"/>
                <w:sz w:val="32"/>
                <w:lang w:val="en-US" w:eastAsia="zh-CN"/>
              </w:rPr>
              <w:t>187.71</w:t>
            </w:r>
            <w:r>
              <w:rPr>
                <w:rFonts w:hint="eastAsia" w:ascii="仿宋_GB2312" w:hAnsi="仿宋_GB2312" w:eastAsia="仿宋_GB2312"/>
                <w:sz w:val="32"/>
              </w:rPr>
              <w:t>万元，</w:t>
            </w:r>
            <w:r>
              <w:rPr>
                <w:rFonts w:hint="eastAsia" w:ascii="仿宋_GB2312" w:hAnsi="仿宋_GB2312" w:eastAsia="仿宋_GB2312"/>
                <w:color w:val="auto"/>
                <w:sz w:val="32"/>
              </w:rPr>
              <w:t>增长</w:t>
            </w:r>
            <w:r>
              <w:rPr>
                <w:rFonts w:hint="eastAsia" w:ascii="仿宋_GB2312" w:hAnsi="仿宋_GB2312" w:eastAsia="仿宋_GB2312"/>
                <w:color w:val="auto"/>
                <w:sz w:val="32"/>
                <w:lang w:val="en-US" w:eastAsia="zh-CN"/>
              </w:rPr>
              <w:t>3.88</w:t>
            </w:r>
            <w:r>
              <w:rPr>
                <w:rFonts w:hint="eastAsia" w:ascii="仿宋_GB2312" w:hAnsi="仿宋_GB2312" w:eastAsia="仿宋_GB2312"/>
                <w:color w:val="auto"/>
                <w:sz w:val="32"/>
              </w:rPr>
              <w:t>%</w:t>
            </w:r>
            <w:r>
              <w:rPr>
                <w:rFonts w:hint="eastAsia" w:ascii="仿宋_GB2312" w:hAnsi="仿宋_GB2312" w:eastAsia="仿宋_GB2312"/>
                <w:sz w:val="32"/>
              </w:rPr>
              <w:t>，主要是由于</w:t>
            </w:r>
            <w:r>
              <w:rPr>
                <w:rFonts w:hint="eastAsia" w:ascii="仿宋_GB2312" w:hAnsi="仿宋_GB2312" w:eastAsia="仿宋_GB2312"/>
                <w:sz w:val="32"/>
                <w:szCs w:val="24"/>
                <w:lang w:eastAsia="zh-CN"/>
              </w:rPr>
              <w:t>厦门市智慧民政一体化平台项目经费</w:t>
            </w:r>
            <w:r>
              <w:rPr>
                <w:rFonts w:hint="eastAsia" w:ascii="FangSong_GB2312" w:hAnsi="FangSong_GB2312" w:eastAsia="FangSong_GB2312" w:cs="Times New Roman"/>
                <w:color w:val="auto"/>
                <w:sz w:val="32"/>
                <w:szCs w:val="22"/>
                <w:lang w:eastAsia="zh-CN"/>
              </w:rPr>
              <w:t>增加</w:t>
            </w:r>
            <w:r>
              <w:rPr>
                <w:rFonts w:hint="eastAsia" w:ascii="仿宋_GB2312" w:hAnsi="仿宋_GB2312" w:eastAsia="仿宋_GB2312"/>
                <w:sz w:val="32"/>
              </w:rPr>
              <w:t>。支出项目(按项级科目分类统计)包括</w:t>
            </w:r>
            <w:r>
              <w:rPr>
                <w:rFonts w:hint="eastAsia" w:ascii="仿宋" w:hAnsi="仿宋" w:eastAsia="仿宋"/>
                <w:sz w:val="3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15"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ind w:left="20"/>
              <w:rPr>
                <w:rFonts w:hint="eastAsia" w:ascii="仿宋_GB2312" w:hAnsi="仿宋_GB2312" w:eastAsia="仿宋_GB2312"/>
                <w:sz w:val="32"/>
              </w:rPr>
            </w:pPr>
            <w:r>
              <w:rPr>
                <w:rFonts w:hint="eastAsia" w:ascii="仿宋_GB2312" w:hAnsi="仿宋_GB2312" w:eastAsia="仿宋_GB2312"/>
                <w:sz w:val="32"/>
              </w:rPr>
              <w:t>　　1.社会保障和就业支出（类）民政管理事务（款）行政运行（项）1,</w:t>
            </w:r>
            <w:r>
              <w:rPr>
                <w:rFonts w:hint="eastAsia" w:ascii="仿宋_GB2312" w:hAnsi="仿宋_GB2312" w:eastAsia="仿宋_GB2312"/>
                <w:sz w:val="32"/>
                <w:lang w:val="en-US" w:eastAsia="zh-CN"/>
              </w:rPr>
              <w:t>675</w:t>
            </w:r>
            <w:r>
              <w:rPr>
                <w:rFonts w:hint="eastAsia" w:ascii="仿宋_GB2312" w:hAnsi="仿宋_GB2312" w:eastAsia="仿宋_GB2312"/>
                <w:sz w:val="32"/>
              </w:rPr>
              <w:t>.2</w:t>
            </w:r>
            <w:r>
              <w:rPr>
                <w:rFonts w:hint="eastAsia" w:ascii="仿宋_GB2312" w:hAnsi="仿宋_GB2312" w:eastAsia="仿宋_GB2312"/>
                <w:sz w:val="32"/>
                <w:lang w:val="en-US" w:eastAsia="zh-CN"/>
              </w:rPr>
              <w:t>4</w:t>
            </w:r>
            <w:r>
              <w:rPr>
                <w:rFonts w:hint="eastAsia" w:ascii="仿宋_GB2312" w:hAnsi="仿宋_GB2312" w:eastAsia="仿宋_GB2312"/>
                <w:sz w:val="32"/>
              </w:rPr>
              <w:t>万元。主要用于</w:t>
            </w:r>
            <w:r>
              <w:rPr>
                <w:rFonts w:hint="eastAsia" w:ascii="FangSong_GB2312" w:hAnsi="FangSong_GB2312" w:eastAsia="FangSong_GB2312" w:cs="Times New Roman"/>
                <w:color w:val="auto"/>
                <w:sz w:val="32"/>
                <w:szCs w:val="22"/>
              </w:rPr>
              <w:t>局机关人员经费支出以及保障机构正常运转、完成日常工作任务的经费支出</w:t>
            </w:r>
            <w:r>
              <w:rPr>
                <w:rFonts w:hint="eastAsia" w:ascii="仿宋_GB2312" w:hAnsi="仿宋_GB2312" w:eastAsia="仿宋_GB2312"/>
                <w:sz w:val="3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15"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ind w:left="20"/>
              <w:rPr>
                <w:rFonts w:hint="eastAsia" w:ascii="仿宋_GB2312" w:hAnsi="仿宋_GB2312" w:eastAsia="仿宋_GB2312"/>
                <w:sz w:val="32"/>
              </w:rPr>
            </w:pPr>
            <w:r>
              <w:rPr>
                <w:rFonts w:hint="eastAsia" w:ascii="仿宋_GB2312" w:hAnsi="仿宋_GB2312" w:eastAsia="仿宋_GB2312"/>
                <w:sz w:val="32"/>
              </w:rPr>
              <w:t>　　2.社会保障和就业支出（类）民政管理事务（款）社会组织管理（项）348.61万元。主要用于</w:t>
            </w:r>
            <w:r>
              <w:rPr>
                <w:rFonts w:hint="eastAsia" w:ascii="FangSong_GB2312" w:hAnsi="FangSong_GB2312" w:eastAsia="FangSong_GB2312" w:cs="Times New Roman"/>
                <w:color w:val="auto"/>
                <w:sz w:val="32"/>
                <w:szCs w:val="22"/>
              </w:rPr>
              <w:t>社会组织管理方面的支出</w:t>
            </w:r>
            <w:r>
              <w:rPr>
                <w:rFonts w:hint="eastAsia" w:ascii="仿宋_GB2312" w:hAnsi="仿宋_GB2312" w:eastAsia="仿宋_GB2312"/>
                <w:sz w:val="3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15"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ind w:left="20"/>
              <w:rPr>
                <w:rFonts w:hint="eastAsia" w:ascii="仿宋_GB2312" w:hAnsi="仿宋_GB2312" w:eastAsia="仿宋_GB2312"/>
                <w:sz w:val="32"/>
              </w:rPr>
            </w:pPr>
            <w:r>
              <w:rPr>
                <w:rFonts w:hint="eastAsia" w:ascii="仿宋_GB2312" w:hAnsi="仿宋_GB2312" w:eastAsia="仿宋_GB2312"/>
                <w:sz w:val="32"/>
              </w:rPr>
              <w:t>　　3.社会保障和就业支出（类）民政管理事务（款）行政区划和地名管理（项）103.40万元。主要用于</w:t>
            </w:r>
            <w:r>
              <w:rPr>
                <w:rFonts w:hint="eastAsia" w:ascii="FangSong_GB2312" w:hAnsi="FangSong_GB2312" w:eastAsia="FangSong_GB2312" w:cs="Times New Roman"/>
                <w:color w:val="auto"/>
                <w:sz w:val="32"/>
                <w:szCs w:val="22"/>
              </w:rPr>
              <w:t>行政区划界线勘定、维护，</w:t>
            </w:r>
            <w:r>
              <w:rPr>
                <w:rFonts w:hint="eastAsia" w:ascii="FangSong_GB2312" w:hAnsi="FangSong_GB2312" w:eastAsia="FangSong_GB2312" w:cs="Times New Roman"/>
                <w:color w:val="auto"/>
                <w:sz w:val="32"/>
                <w:szCs w:val="22"/>
                <w:lang w:eastAsia="zh-CN"/>
              </w:rPr>
              <w:t>制作</w:t>
            </w:r>
            <w:r>
              <w:rPr>
                <w:rFonts w:hint="eastAsia" w:ascii="FangSong_GB2312" w:hAnsi="FangSong_GB2312" w:eastAsia="FangSong_GB2312" w:cs="Times New Roman"/>
                <w:color w:val="auto"/>
                <w:sz w:val="32"/>
                <w:szCs w:val="22"/>
              </w:rPr>
              <w:t>楼门牌以及行政区划和地名管理的支出</w:t>
            </w:r>
            <w:r>
              <w:rPr>
                <w:rFonts w:hint="eastAsia" w:ascii="仿宋_GB2312" w:hAnsi="仿宋_GB2312" w:eastAsia="仿宋_GB2312"/>
                <w:sz w:val="3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15"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ind w:left="20"/>
              <w:rPr>
                <w:rFonts w:hint="eastAsia" w:ascii="仿宋_GB2312" w:hAnsi="仿宋_GB2312" w:eastAsia="仿宋_GB2312"/>
                <w:sz w:val="32"/>
              </w:rPr>
            </w:pPr>
            <w:r>
              <w:rPr>
                <w:rFonts w:hint="eastAsia" w:ascii="仿宋_GB2312" w:hAnsi="仿宋_GB2312" w:eastAsia="仿宋_GB2312"/>
                <w:sz w:val="32"/>
              </w:rPr>
              <w:t>　　4.社会保障和就业支出（类）民政管理事务（款）基层政权建设和社区治理（项）34.62万元。主要用于</w:t>
            </w:r>
            <w:r>
              <w:rPr>
                <w:rFonts w:hint="eastAsia" w:ascii="FangSong_GB2312" w:hAnsi="FangSong_GB2312" w:eastAsia="FangSong_GB2312" w:cs="Times New Roman"/>
                <w:color w:val="auto"/>
                <w:sz w:val="32"/>
                <w:szCs w:val="22"/>
              </w:rPr>
              <w:t>村民自治、村务公开等基层政权建设和社区治理工作的支出</w:t>
            </w:r>
            <w:r>
              <w:rPr>
                <w:rFonts w:hint="eastAsia" w:ascii="仿宋_GB2312" w:hAnsi="仿宋_GB2312" w:eastAsia="仿宋_GB2312"/>
                <w:sz w:val="3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15"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ind w:left="20"/>
              <w:rPr>
                <w:rFonts w:hint="eastAsia" w:ascii="仿宋_GB2312" w:hAnsi="仿宋_GB2312" w:eastAsia="仿宋_GB2312"/>
                <w:sz w:val="32"/>
              </w:rPr>
            </w:pPr>
            <w:r>
              <w:rPr>
                <w:rFonts w:hint="eastAsia" w:ascii="仿宋_GB2312" w:hAnsi="仿宋_GB2312" w:eastAsia="仿宋_GB2312"/>
                <w:sz w:val="32"/>
              </w:rPr>
              <w:t>　　5.社会保障和就业支出（类）民政管理事务（款）其他民政管理事务支出（项）488.80万元。主要用于</w:t>
            </w:r>
            <w:r>
              <w:rPr>
                <w:rFonts w:hint="eastAsia" w:ascii="FangSong_GB2312" w:hAnsi="FangSong_GB2312" w:eastAsia="FangSong_GB2312" w:cs="Times New Roman"/>
                <w:color w:val="auto"/>
                <w:sz w:val="32"/>
                <w:szCs w:val="22"/>
              </w:rPr>
              <w:t>民政部门接待来访、法制建设、政策宣传方面的支出，以及开展社会救助、社会福利、养老服务、社会事务、信息化建设等方面的支出</w:t>
            </w:r>
            <w:r>
              <w:rPr>
                <w:rFonts w:hint="eastAsia" w:ascii="仿宋_GB2312" w:hAnsi="仿宋_GB2312" w:eastAsia="仿宋_GB2312"/>
                <w:sz w:val="3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15"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ind w:left="20"/>
              <w:rPr>
                <w:rFonts w:hint="eastAsia" w:ascii="仿宋_GB2312" w:hAnsi="仿宋_GB2312" w:eastAsia="仿宋_GB2312"/>
                <w:sz w:val="32"/>
              </w:rPr>
            </w:pPr>
            <w:r>
              <w:rPr>
                <w:rFonts w:hint="eastAsia" w:ascii="仿宋_GB2312" w:hAnsi="仿宋_GB2312" w:eastAsia="仿宋_GB2312"/>
                <w:sz w:val="32"/>
              </w:rPr>
              <w:t>　　6.社会保障和就业支出（类）行政事业单位养老支出（款）行政单位离退休（项）516.12万元。主要用于</w:t>
            </w:r>
            <w:r>
              <w:rPr>
                <w:rFonts w:hint="eastAsia" w:ascii="仿宋_GB2312" w:hAnsi="仿宋_GB2312" w:eastAsia="仿宋_GB2312"/>
                <w:sz w:val="32"/>
                <w:lang w:eastAsia="zh-CN"/>
              </w:rPr>
              <w:t>局机关</w:t>
            </w:r>
            <w:r>
              <w:rPr>
                <w:rFonts w:hint="eastAsia" w:ascii="FangSong_GB2312" w:hAnsi="FangSong_GB2312" w:eastAsia="FangSong_GB2312" w:cs="Times New Roman"/>
                <w:color w:val="auto"/>
                <w:sz w:val="32"/>
                <w:szCs w:val="22"/>
              </w:rPr>
              <w:t>离退休人员</w:t>
            </w:r>
            <w:r>
              <w:rPr>
                <w:rFonts w:hint="eastAsia" w:ascii="FangSong_GB2312" w:hAnsi="FangSong_GB2312" w:eastAsia="FangSong_GB2312" w:cs="Times New Roman"/>
                <w:color w:val="auto"/>
                <w:sz w:val="32"/>
                <w:szCs w:val="22"/>
                <w:lang w:eastAsia="zh-CN"/>
              </w:rPr>
              <w:t>离退休</w:t>
            </w:r>
            <w:r>
              <w:rPr>
                <w:rFonts w:hint="eastAsia" w:ascii="FangSong_GB2312" w:hAnsi="FangSong_GB2312" w:eastAsia="FangSong_GB2312" w:cs="Times New Roman"/>
                <w:color w:val="auto"/>
                <w:sz w:val="32"/>
                <w:szCs w:val="22"/>
              </w:rPr>
              <w:t>经费的支出</w:t>
            </w:r>
            <w:r>
              <w:rPr>
                <w:rFonts w:hint="eastAsia" w:ascii="仿宋_GB2312" w:hAnsi="仿宋_GB2312" w:eastAsia="仿宋_GB2312"/>
                <w:sz w:val="3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79"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ind w:left="20"/>
              <w:rPr>
                <w:rFonts w:hint="eastAsia" w:ascii="仿宋_GB2312" w:hAnsi="仿宋_GB2312" w:eastAsia="仿宋_GB2312"/>
                <w:sz w:val="32"/>
              </w:rPr>
            </w:pPr>
            <w:r>
              <w:rPr>
                <w:rFonts w:hint="eastAsia" w:ascii="仿宋_GB2312" w:hAnsi="仿宋_GB2312" w:eastAsia="仿宋_GB2312"/>
                <w:sz w:val="32"/>
              </w:rPr>
              <w:t>　　7.社会保障和就业支出（类）行政事业单位养老支出（款）机关事业单位基本养老保险缴费支出（项）111.66万元。主要用于</w:t>
            </w:r>
            <w:r>
              <w:rPr>
                <w:rFonts w:hint="eastAsia" w:ascii="仿宋_GB2312" w:hAnsi="仿宋_GB2312" w:eastAsia="仿宋_GB2312"/>
                <w:sz w:val="32"/>
                <w:lang w:eastAsia="zh-CN"/>
              </w:rPr>
              <w:t>局</w:t>
            </w:r>
            <w:r>
              <w:rPr>
                <w:rFonts w:hint="eastAsia" w:ascii="FangSong_GB2312" w:hAnsi="FangSong_GB2312" w:eastAsia="FangSong_GB2312" w:cs="Times New Roman"/>
                <w:color w:val="auto"/>
                <w:sz w:val="32"/>
                <w:szCs w:val="22"/>
              </w:rPr>
              <w:t>机关实施养老保险制度由单位缴纳的基本养老保险费支出</w:t>
            </w:r>
            <w:r>
              <w:rPr>
                <w:rFonts w:hint="eastAsia" w:ascii="仿宋_GB2312" w:hAnsi="仿宋_GB2312" w:eastAsia="仿宋_GB2312"/>
                <w:sz w:val="3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79"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ind w:left="20"/>
              <w:rPr>
                <w:rFonts w:hint="eastAsia" w:ascii="仿宋_GB2312" w:hAnsi="仿宋_GB2312" w:eastAsia="仿宋_GB2312"/>
                <w:sz w:val="32"/>
              </w:rPr>
            </w:pPr>
            <w:r>
              <w:rPr>
                <w:rFonts w:hint="eastAsia" w:ascii="仿宋_GB2312" w:hAnsi="仿宋_GB2312" w:eastAsia="仿宋_GB2312"/>
                <w:sz w:val="32"/>
              </w:rPr>
              <w:t>　　8.社会保障和就业支出（类）行政事业单位养老支出（款）机关事业单位职业年金缴费支出（项）59.55万元。主要用于</w:t>
            </w:r>
            <w:r>
              <w:rPr>
                <w:rFonts w:hint="eastAsia" w:ascii="仿宋_GB2312" w:hAnsi="仿宋_GB2312" w:eastAsia="仿宋_GB2312"/>
                <w:sz w:val="32"/>
                <w:lang w:eastAsia="zh-CN"/>
              </w:rPr>
              <w:t>局</w:t>
            </w:r>
            <w:r>
              <w:rPr>
                <w:rFonts w:hint="eastAsia" w:ascii="FangSong_GB2312" w:hAnsi="FangSong_GB2312" w:eastAsia="FangSong_GB2312" w:cs="Times New Roman"/>
                <w:color w:val="auto"/>
                <w:sz w:val="32"/>
                <w:szCs w:val="22"/>
              </w:rPr>
              <w:t>机关人员职业年金缴费支出</w:t>
            </w:r>
            <w:r>
              <w:rPr>
                <w:rFonts w:hint="eastAsia" w:ascii="仿宋_GB2312" w:hAnsi="仿宋_GB2312" w:eastAsia="仿宋_GB2312"/>
                <w:sz w:val="3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15"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ind w:left="20"/>
              <w:rPr>
                <w:rFonts w:hint="eastAsia" w:ascii="仿宋_GB2312" w:hAnsi="仿宋_GB2312" w:eastAsia="仿宋_GB2312"/>
                <w:sz w:val="32"/>
              </w:rPr>
            </w:pPr>
            <w:r>
              <w:rPr>
                <w:rFonts w:hint="eastAsia" w:ascii="仿宋_GB2312" w:hAnsi="仿宋_GB2312" w:eastAsia="仿宋_GB2312"/>
                <w:sz w:val="32"/>
              </w:rPr>
              <w:t>　　9.社会保障和就业支出（类）其他生活救助（款）其他城市生活救助（项）861.13万元。主要用于</w:t>
            </w:r>
            <w:r>
              <w:rPr>
                <w:rFonts w:hint="eastAsia" w:ascii="FangSong_GB2312" w:hAnsi="FangSong_GB2312" w:eastAsia="FangSong_GB2312" w:cs="Times New Roman"/>
                <w:color w:val="auto"/>
                <w:sz w:val="32"/>
                <w:szCs w:val="22"/>
              </w:rPr>
              <w:t>民政救济对象精神病人救治、特困人员生活费、无名无主遗体丧葬费等支出</w:t>
            </w:r>
            <w:r>
              <w:rPr>
                <w:rFonts w:hint="eastAsia" w:ascii="仿宋_GB2312" w:hAnsi="仿宋_GB2312" w:eastAsia="仿宋_GB2312"/>
                <w:sz w:val="3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15"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ind w:left="20"/>
              <w:rPr>
                <w:rFonts w:hint="eastAsia" w:ascii="仿宋_GB2312" w:hAnsi="仿宋_GB2312" w:eastAsia="仿宋_GB2312"/>
                <w:sz w:val="32"/>
              </w:rPr>
            </w:pPr>
            <w:r>
              <w:rPr>
                <w:rFonts w:hint="eastAsia" w:ascii="仿宋_GB2312" w:hAnsi="仿宋_GB2312" w:eastAsia="仿宋_GB2312"/>
                <w:sz w:val="32"/>
              </w:rPr>
              <w:t>　　10.卫生健康支出（类）行政事业单位医疗（款）行政单位医疗（项）</w:t>
            </w:r>
            <w:r>
              <w:rPr>
                <w:rFonts w:hint="eastAsia" w:ascii="仿宋_GB2312" w:hAnsi="仿宋_GB2312" w:eastAsia="仿宋_GB2312"/>
                <w:sz w:val="32"/>
                <w:lang w:val="en-US" w:eastAsia="zh-CN"/>
              </w:rPr>
              <w:t>53.80</w:t>
            </w:r>
            <w:r>
              <w:rPr>
                <w:rFonts w:hint="eastAsia" w:ascii="仿宋_GB2312" w:hAnsi="仿宋_GB2312" w:eastAsia="仿宋_GB2312"/>
                <w:sz w:val="32"/>
              </w:rPr>
              <w:t>万元。主要用于</w:t>
            </w:r>
            <w:r>
              <w:rPr>
                <w:rFonts w:hint="eastAsia" w:ascii="FangSong_GB2312" w:hAnsi="FangSong_GB2312" w:eastAsia="FangSong_GB2312" w:cs="Times New Roman"/>
                <w:color w:val="auto"/>
                <w:sz w:val="32"/>
                <w:szCs w:val="22"/>
              </w:rPr>
              <w:t>局机关基本医疗保险缴费的支出</w:t>
            </w:r>
            <w:r>
              <w:rPr>
                <w:rFonts w:hint="eastAsia" w:ascii="仿宋_GB2312" w:hAnsi="仿宋_GB2312" w:eastAsia="仿宋_GB2312"/>
                <w:sz w:val="3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15"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ind w:left="20"/>
              <w:rPr>
                <w:rFonts w:hint="eastAsia" w:ascii="仿宋_GB2312" w:hAnsi="仿宋_GB2312" w:eastAsia="仿宋_GB2312"/>
                <w:sz w:val="32"/>
              </w:rPr>
            </w:pPr>
            <w:r>
              <w:rPr>
                <w:rFonts w:hint="eastAsia" w:ascii="仿宋_GB2312" w:hAnsi="仿宋_GB2312" w:eastAsia="仿宋_GB2312"/>
                <w:sz w:val="32"/>
              </w:rPr>
              <w:t>　　11.卫生健康支出（类）行政事业单位医疗（款）公务员医疗补助（项）24.42万元。主要用于</w:t>
            </w:r>
            <w:r>
              <w:rPr>
                <w:rFonts w:hint="eastAsia" w:ascii="FangSong_GB2312" w:hAnsi="FangSong_GB2312" w:eastAsia="FangSong_GB2312" w:cs="Times New Roman"/>
                <w:color w:val="auto"/>
                <w:sz w:val="32"/>
                <w:szCs w:val="22"/>
              </w:rPr>
              <w:t>局机关医疗补助经费支出</w:t>
            </w:r>
            <w:r>
              <w:rPr>
                <w:rFonts w:hint="eastAsia" w:ascii="仿宋_GB2312" w:hAnsi="仿宋_GB2312" w:eastAsia="仿宋_GB2312"/>
                <w:sz w:val="3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79"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ind w:left="20"/>
              <w:rPr>
                <w:rFonts w:hint="eastAsia" w:ascii="仿宋_GB2312" w:hAnsi="仿宋_GB2312" w:eastAsia="仿宋_GB2312"/>
                <w:sz w:val="32"/>
              </w:rPr>
            </w:pPr>
            <w:r>
              <w:rPr>
                <w:rFonts w:hint="eastAsia" w:ascii="仿宋_GB2312" w:hAnsi="仿宋_GB2312" w:eastAsia="仿宋_GB2312"/>
                <w:sz w:val="32"/>
              </w:rPr>
              <w:t>　　12.资源勘探工业信息等支出（类）其他资源勘探工业信息等支出（款）其他资源勘探工业信息等支出（项）751.21万元。主要用于</w:t>
            </w:r>
            <w:r>
              <w:rPr>
                <w:rFonts w:hint="eastAsia" w:ascii="仿宋_GB2312" w:hAnsi="仿宋_GB2312" w:eastAsia="仿宋_GB2312"/>
                <w:sz w:val="32"/>
                <w:szCs w:val="24"/>
                <w:lang w:eastAsia="zh-CN"/>
              </w:rPr>
              <w:t>“</w:t>
            </w:r>
            <w:r>
              <w:rPr>
                <w:rFonts w:hint="eastAsia" w:ascii="FangSong_GB2312" w:hAnsi="FangSong_GB2312" w:eastAsia="FangSong_GB2312" w:cs="Times New Roman"/>
                <w:color w:val="auto"/>
                <w:sz w:val="32"/>
                <w:szCs w:val="22"/>
              </w:rPr>
              <w:t>智慧民政一体化平台</w:t>
            </w:r>
            <w:r>
              <w:rPr>
                <w:rFonts w:hint="eastAsia" w:ascii="FangSong_GB2312" w:hAnsi="FangSong_GB2312" w:eastAsia="FangSong_GB2312" w:cs="Times New Roman"/>
                <w:color w:val="auto"/>
                <w:sz w:val="32"/>
                <w:szCs w:val="22"/>
                <w:lang w:eastAsia="zh-CN"/>
              </w:rPr>
              <w:t>”建设</w:t>
            </w:r>
            <w:r>
              <w:rPr>
                <w:rFonts w:hint="eastAsia" w:ascii="FangSong_GB2312" w:hAnsi="FangSong_GB2312" w:eastAsia="FangSong_GB2312" w:cs="Times New Roman"/>
                <w:color w:val="auto"/>
                <w:sz w:val="32"/>
                <w:szCs w:val="22"/>
              </w:rPr>
              <w:t>支出</w:t>
            </w:r>
            <w:r>
              <w:rPr>
                <w:rFonts w:hint="eastAsia" w:ascii="仿宋_GB2312" w:hAnsi="仿宋_GB2312" w:eastAsia="仿宋_GB2312"/>
                <w:sz w:val="3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07"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rPr>
                <w:rFonts w:hint="default" w:ascii="仿宋_GB2312" w:hAnsi="仿宋_GB2312" w:eastAsia="仿宋_GB2312"/>
                <w:sz w:val="32"/>
              </w:rPr>
            </w:pPr>
            <w:r>
              <w:rPr>
                <w:rFonts w:hint="eastAsia" w:ascii="黑体" w:hAnsi="黑体" w:eastAsia="黑体"/>
                <w:sz w:val="32"/>
              </w:rPr>
              <w:t>　　三、政府性基金预算财政拨款支出情况</w:t>
            </w:r>
          </w:p>
          <w:p>
            <w:pPr>
              <w:spacing w:beforeLines="0" w:afterLines="0" w:line="555" w:lineRule="exact"/>
              <w:rPr>
                <w:rFonts w:hint="eastAsia" w:ascii="仿宋_GB2312" w:hAnsi="仿宋_GB2312" w:eastAsia="仿宋_GB2312"/>
                <w:sz w:val="32"/>
              </w:rPr>
            </w:pPr>
            <w:r>
              <w:rPr>
                <w:rFonts w:hint="eastAsia" w:ascii="仿宋_GB2312" w:hAnsi="仿宋_GB2312" w:eastAsia="仿宋_GB2312"/>
                <w:sz w:val="32"/>
              </w:rPr>
              <w:t>　　2023年度政府性基金支出1,178.20万元（不含市对区转移支付项目），比2022年预算数增加</w:t>
            </w:r>
            <w:r>
              <w:rPr>
                <w:rFonts w:hint="eastAsia" w:ascii="仿宋_GB2312" w:hAnsi="仿宋_GB2312" w:eastAsia="仿宋_GB2312"/>
                <w:sz w:val="32"/>
                <w:lang w:val="en-US" w:eastAsia="zh-CN"/>
              </w:rPr>
              <w:t>61.46</w:t>
            </w:r>
            <w:r>
              <w:rPr>
                <w:rFonts w:hint="eastAsia" w:ascii="仿宋_GB2312" w:hAnsi="仿宋_GB2312" w:eastAsia="仿宋_GB2312"/>
                <w:sz w:val="32"/>
              </w:rPr>
              <w:t>万元，增长</w:t>
            </w:r>
            <w:r>
              <w:rPr>
                <w:rFonts w:hint="eastAsia" w:ascii="仿宋_GB2312" w:hAnsi="仿宋_GB2312" w:eastAsia="仿宋_GB2312"/>
                <w:sz w:val="32"/>
                <w:lang w:val="en-US" w:eastAsia="zh-CN"/>
              </w:rPr>
              <w:t>5.50</w:t>
            </w:r>
            <w:r>
              <w:rPr>
                <w:rFonts w:hint="eastAsia" w:ascii="仿宋_GB2312" w:hAnsi="仿宋_GB2312" w:eastAsia="仿宋_GB2312"/>
                <w:sz w:val="32"/>
              </w:rPr>
              <w:t>%，主要是由于</w:t>
            </w:r>
            <w:r>
              <w:rPr>
                <w:rFonts w:hint="eastAsia" w:ascii="FangSong_GB2312" w:hAnsi="FangSong_GB2312" w:eastAsia="FangSong_GB2312" w:cs="Times New Roman"/>
                <w:color w:val="auto"/>
                <w:sz w:val="32"/>
                <w:szCs w:val="22"/>
                <w:lang w:eastAsia="zh-CN"/>
              </w:rPr>
              <w:t>社会工作专业人才队伍建设经费增加</w:t>
            </w:r>
            <w:r>
              <w:rPr>
                <w:rFonts w:hint="eastAsia" w:ascii="仿宋_GB2312" w:hAnsi="仿宋_GB2312" w:eastAsia="仿宋_GB2312"/>
                <w:sz w:val="32"/>
              </w:rPr>
              <w:t>。支出项目（按项级科目分类统计）：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79"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ind w:left="20"/>
              <w:rPr>
                <w:rFonts w:hint="eastAsia" w:ascii="仿宋_GB2312" w:hAnsi="仿宋_GB2312" w:eastAsia="仿宋_GB2312"/>
                <w:sz w:val="32"/>
              </w:rPr>
            </w:pPr>
            <w:r>
              <w:rPr>
                <w:rFonts w:hint="eastAsia" w:ascii="仿宋_GB2312" w:hAnsi="仿宋_GB2312" w:eastAsia="仿宋_GB2312"/>
                <w:sz w:val="32"/>
              </w:rPr>
              <w:t>　　1.其他支出（类）彩票公益金安排的支出（款）用于社会福利的彩票公益金支出（项）1,178.20万元。主要用于</w:t>
            </w:r>
            <w:r>
              <w:rPr>
                <w:rFonts w:hint="eastAsia" w:ascii="FangSong_GB2312" w:hAnsi="FangSong_GB2312" w:eastAsia="FangSong_GB2312" w:cs="Times New Roman"/>
                <w:color w:val="auto"/>
                <w:sz w:val="32"/>
                <w:szCs w:val="22"/>
              </w:rPr>
              <w:t>养老信息化服务费、市慈善总会帮扶资金</w:t>
            </w:r>
            <w:r>
              <w:rPr>
                <w:rFonts w:hint="eastAsia" w:ascii="FangSong_GB2312" w:hAnsi="FangSong_GB2312" w:eastAsia="FangSong_GB2312" w:cs="Times New Roman"/>
                <w:color w:val="auto"/>
                <w:sz w:val="32"/>
                <w:szCs w:val="22"/>
                <w:lang w:eastAsia="zh-CN"/>
              </w:rPr>
              <w:t>、养老服务人才奖励补助、社会工作专业人才队伍建设</w:t>
            </w:r>
            <w:r>
              <w:rPr>
                <w:rFonts w:hint="eastAsia" w:ascii="仿宋_GB2312" w:hAnsi="仿宋_GB2312" w:eastAsia="仿宋_GB2312"/>
                <w:sz w:val="3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0"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rPr>
                <w:rFonts w:hint="eastAsia" w:ascii="仿宋_GB2312" w:hAnsi="仿宋_GB2312" w:eastAsia="仿宋_GB2312"/>
                <w:sz w:val="32"/>
              </w:rPr>
            </w:pPr>
            <w:r>
              <w:rPr>
                <w:rFonts w:hint="eastAsia" w:ascii="仿宋_GB2312" w:hAnsi="仿宋_GB2312" w:eastAsia="仿宋_GB2312"/>
                <w:sz w:val="3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43"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rPr>
                <w:rFonts w:hint="default" w:ascii="仿宋_GB2312" w:hAnsi="仿宋_GB2312" w:eastAsia="仿宋_GB2312"/>
                <w:sz w:val="32"/>
              </w:rPr>
            </w:pPr>
            <w:r>
              <w:rPr>
                <w:rFonts w:hint="eastAsia" w:ascii="黑体" w:hAnsi="黑体" w:eastAsia="黑体"/>
                <w:sz w:val="32"/>
              </w:rPr>
              <w:t>　　四、“三公”经费财政拨款预算情况</w:t>
            </w:r>
          </w:p>
          <w:p>
            <w:pPr>
              <w:spacing w:beforeLines="0" w:afterLines="0" w:line="555" w:lineRule="exact"/>
              <w:rPr>
                <w:rFonts w:hint="eastAsia" w:ascii="仿宋_GB2312" w:hAnsi="仿宋_GB2312" w:eastAsia="仿宋_GB2312"/>
                <w:sz w:val="32"/>
              </w:rPr>
            </w:pPr>
            <w:r>
              <w:rPr>
                <w:rFonts w:hint="eastAsia" w:ascii="仿宋_GB2312" w:hAnsi="仿宋_GB2312" w:eastAsia="仿宋_GB2312"/>
                <w:sz w:val="32"/>
              </w:rPr>
              <w:t>　　厦门市民政局单位2023年“三公”经费财政拨款预算数为3.60万元，其中：因公出国（境）经费0.00万元，公务接待费3.60万元，公务用车购置及运行费0.00万元。具体情况如下：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7"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rPr>
                <w:rFonts w:hint="default" w:ascii="仿宋_GB2312" w:hAnsi="仿宋_GB2312" w:eastAsia="仿宋_GB2312"/>
                <w:sz w:val="32"/>
              </w:rPr>
            </w:pPr>
            <w:r>
              <w:rPr>
                <w:rFonts w:hint="eastAsia" w:ascii="楷体_GB2312" w:hAnsi="楷体_GB2312" w:eastAsia="楷体_GB2312"/>
                <w:sz w:val="32"/>
              </w:rPr>
              <w:t>　　（一）因公出国（境）经费</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beforeLines="0" w:afterLines="0" w:line="579" w:lineRule="exact"/>
              <w:ind w:firstLine="640" w:firstLineChars="200"/>
              <w:textAlignment w:val="auto"/>
              <w:outlineLvl w:val="9"/>
              <w:rPr>
                <w:rFonts w:hint="eastAsia" w:ascii="仿宋_GB2312" w:hAnsi="仿宋_GB2312" w:eastAsia="仿宋_GB2312"/>
                <w:sz w:val="32"/>
                <w:szCs w:val="24"/>
              </w:rPr>
            </w:pPr>
            <w:r>
              <w:rPr>
                <w:rFonts w:hint="eastAsia" w:ascii="仿宋_GB2312" w:hAnsi="仿宋_GB2312" w:eastAsia="仿宋_GB2312"/>
                <w:sz w:val="32"/>
              </w:rPr>
              <w:t>　2023年预算安排0.00万元。</w:t>
            </w:r>
            <w:r>
              <w:rPr>
                <w:rFonts w:hint="eastAsia" w:ascii="FangSong_GB2312" w:hAnsi="FangSong_GB2312" w:eastAsia="FangSong_GB2312" w:cs="Times New Roman"/>
                <w:color w:val="auto"/>
                <w:sz w:val="32"/>
                <w:szCs w:val="22"/>
                <w:lang w:eastAsia="zh-CN"/>
              </w:rPr>
              <w:t>与上年预算相比无变化，主要原因是:坚决落实过紧日子要求，严格控制出国（境）人次数。</w:t>
            </w:r>
          </w:p>
          <w:p>
            <w:pPr>
              <w:spacing w:beforeLines="0" w:afterLines="0" w:line="555" w:lineRule="exact"/>
              <w:rPr>
                <w:rFonts w:hint="default" w:ascii="仿宋_GB2312" w:hAnsi="仿宋_GB2312" w:eastAsia="仿宋_GB2312"/>
                <w:sz w:val="32"/>
              </w:rPr>
            </w:pPr>
            <w:r>
              <w:rPr>
                <w:rFonts w:hint="eastAsia" w:ascii="楷体_GB2312" w:hAnsi="楷体_GB2312" w:eastAsia="楷体_GB2312"/>
                <w:sz w:val="32"/>
              </w:rPr>
              <w:t>　　（二）公务接待费</w:t>
            </w:r>
          </w:p>
          <w:p>
            <w:pPr>
              <w:spacing w:beforeLines="0" w:afterLines="0" w:line="555" w:lineRule="exact"/>
              <w:rPr>
                <w:rFonts w:hint="default" w:ascii="仿宋_GB2312" w:hAnsi="仿宋_GB2312" w:eastAsia="仿宋_GB2312"/>
                <w:sz w:val="32"/>
              </w:rPr>
            </w:pPr>
            <w:r>
              <w:rPr>
                <w:rFonts w:hint="eastAsia" w:ascii="仿宋_GB2312" w:hAnsi="仿宋_GB2312" w:eastAsia="仿宋_GB2312"/>
                <w:sz w:val="32"/>
              </w:rPr>
              <w:t>　　2023年预算安排3.60万元。主要用于</w:t>
            </w:r>
            <w:r>
              <w:rPr>
                <w:rFonts w:hint="eastAsia" w:ascii="FangSong_GB2312" w:hAnsi="FangSong_GB2312" w:eastAsia="FangSong_GB2312" w:cs="Times New Roman"/>
                <w:color w:val="auto"/>
                <w:sz w:val="32"/>
                <w:szCs w:val="22"/>
                <w:lang w:eastAsia="zh-CN"/>
              </w:rPr>
              <w:t>上级业务主管部门、兄弟省市业务部门来厦考察、学习及交流等方面的接待活动</w:t>
            </w:r>
            <w:r>
              <w:rPr>
                <w:rFonts w:hint="eastAsia" w:ascii="仿宋_GB2312" w:hAnsi="仿宋_GB2312" w:eastAsia="仿宋_GB2312"/>
                <w:sz w:val="32"/>
              </w:rPr>
              <w:t>。与上年预算相比</w:t>
            </w:r>
            <w:r>
              <w:rPr>
                <w:rFonts w:hint="eastAsia" w:ascii="仿宋_GB2312" w:hAnsi="仿宋_GB2312" w:eastAsia="仿宋_GB2312"/>
                <w:sz w:val="32"/>
                <w:lang w:eastAsia="zh-CN"/>
              </w:rPr>
              <w:t>无变化</w:t>
            </w:r>
            <w:r>
              <w:rPr>
                <w:rFonts w:hint="eastAsia" w:ascii="仿宋_GB2312" w:hAnsi="仿宋_GB2312" w:eastAsia="仿宋_GB2312"/>
                <w:sz w:val="32"/>
              </w:rPr>
              <w:t>，主要原因是:</w:t>
            </w:r>
            <w:r>
              <w:rPr>
                <w:rFonts w:hint="default" w:ascii="仿宋_GB2312" w:hAnsi="宋体" w:eastAsia="仿宋_GB2312" w:cs="仿宋_GB2312"/>
                <w:color w:val="000000"/>
                <w:kern w:val="0"/>
                <w:sz w:val="31"/>
                <w:szCs w:val="31"/>
                <w:lang w:val="en-US" w:eastAsia="zh-CN" w:bidi="ar"/>
              </w:rPr>
              <w:t>优先保障“三保”（保基本民生、保工资、保运</w:t>
            </w:r>
            <w:r>
              <w:rPr>
                <w:rFonts w:hint="eastAsia" w:ascii="仿宋_GB2312" w:hAnsi="宋体" w:eastAsia="仿宋_GB2312" w:cs="仿宋_GB2312"/>
                <w:color w:val="000000"/>
                <w:kern w:val="0"/>
                <w:sz w:val="31"/>
                <w:szCs w:val="31"/>
                <w:lang w:val="en-US" w:eastAsia="zh-CN" w:bidi="ar"/>
              </w:rPr>
              <w:t>转）支出,</w:t>
            </w:r>
            <w:r>
              <w:rPr>
                <w:rFonts w:hint="eastAsia" w:ascii="FangSong_GB2312" w:hAnsi="FangSong_GB2312" w:eastAsia="FangSong_GB2312" w:cs="Times New Roman"/>
                <w:color w:val="auto"/>
                <w:sz w:val="32"/>
                <w:szCs w:val="22"/>
                <w:lang w:eastAsia="zh-CN"/>
              </w:rPr>
              <w:t>严格执行公务接待管理实施办法，厉行节约。</w:t>
            </w:r>
            <w:r>
              <w:rPr>
                <w:rFonts w:hint="eastAsia" w:ascii="仿宋_GB2312" w:hAnsi="仿宋_GB2312" w:eastAsia="仿宋_GB2312"/>
                <w:sz w:val="32"/>
              </w:rPr>
              <w:t>。</w:t>
            </w:r>
          </w:p>
          <w:p>
            <w:pPr>
              <w:spacing w:beforeLines="0" w:afterLines="0" w:line="555" w:lineRule="exact"/>
              <w:rPr>
                <w:rFonts w:hint="default" w:ascii="仿宋_GB2312" w:hAnsi="仿宋_GB2312" w:eastAsia="仿宋_GB2312"/>
                <w:sz w:val="32"/>
              </w:rPr>
            </w:pPr>
            <w:r>
              <w:rPr>
                <w:rFonts w:hint="eastAsia" w:ascii="楷体_GB2312" w:hAnsi="楷体_GB2312" w:eastAsia="楷体_GB2312"/>
                <w:sz w:val="32"/>
              </w:rPr>
              <w:t>　　（三）公务用车购置及运行费</w:t>
            </w:r>
          </w:p>
          <w:p>
            <w:pPr>
              <w:spacing w:line="555" w:lineRule="exact"/>
              <w:rPr>
                <w:rFonts w:hint="eastAsia" w:ascii="仿宋_GB2312" w:hAnsi="仿宋_GB2312" w:eastAsia="仿宋_GB2312"/>
                <w:sz w:val="32"/>
                <w:szCs w:val="24"/>
              </w:rPr>
            </w:pPr>
            <w:r>
              <w:rPr>
                <w:rFonts w:hint="eastAsia" w:ascii="仿宋_GB2312" w:hAnsi="仿宋_GB2312" w:eastAsia="仿宋_GB2312"/>
                <w:sz w:val="32"/>
              </w:rPr>
              <w:t>　　2023年预算安排0.00万元，其中：公务用车运行费0.00万元，主要用于公务用车燃油、维修、保险等方面支出；公务用车购置费0.00万元。与上年预算相比</w:t>
            </w:r>
            <w:r>
              <w:rPr>
                <w:rFonts w:hint="eastAsia" w:ascii="仿宋_GB2312" w:hAnsi="仿宋_GB2312" w:eastAsia="仿宋_GB2312"/>
                <w:sz w:val="32"/>
                <w:lang w:eastAsia="zh-CN"/>
              </w:rPr>
              <w:t>无变化</w:t>
            </w:r>
            <w:r>
              <w:rPr>
                <w:rFonts w:hint="eastAsia" w:ascii="仿宋_GB2312" w:hAnsi="仿宋_GB2312" w:eastAsia="仿宋_GB2312"/>
                <w:sz w:val="32"/>
              </w:rPr>
              <w:t>，主要原因是:</w:t>
            </w:r>
            <w:r>
              <w:rPr>
                <w:rFonts w:hint="default" w:ascii="仿宋_GB2312" w:hAnsi="宋体" w:eastAsia="仿宋_GB2312" w:cs="仿宋_GB2312"/>
                <w:color w:val="000000"/>
                <w:kern w:val="0"/>
                <w:sz w:val="31"/>
                <w:szCs w:val="31"/>
                <w:lang w:val="en-US" w:eastAsia="zh-CN" w:bidi="ar"/>
              </w:rPr>
              <w:t>优先保障“三保”（保基本民生、保工资、保运</w:t>
            </w:r>
            <w:r>
              <w:rPr>
                <w:rFonts w:hint="eastAsia" w:ascii="仿宋_GB2312" w:hAnsi="宋体" w:eastAsia="仿宋_GB2312" w:cs="仿宋_GB2312"/>
                <w:color w:val="000000"/>
                <w:kern w:val="0"/>
                <w:sz w:val="31"/>
                <w:szCs w:val="31"/>
                <w:lang w:val="en-US" w:eastAsia="zh-CN" w:bidi="ar"/>
              </w:rPr>
              <w:t>转）支出,</w:t>
            </w:r>
            <w:r>
              <w:rPr>
                <w:rFonts w:hint="eastAsia" w:ascii="FangSong_GB2312" w:hAnsi="FangSong_GB2312" w:eastAsia="FangSong_GB2312" w:cs="Times New Roman"/>
                <w:color w:val="auto"/>
                <w:sz w:val="32"/>
                <w:szCs w:val="22"/>
                <w:lang w:eastAsia="zh-CN"/>
              </w:rPr>
              <w:t>严格执行公务用车管理办法，节约用车</w:t>
            </w:r>
            <w:r>
              <w:rPr>
                <w:rFonts w:hint="eastAsia" w:ascii="仿宋_GB2312" w:hAnsi="仿宋_GB2312" w:eastAsia="仿宋_GB2312"/>
                <w:sz w:val="32"/>
                <w:szCs w:val="24"/>
              </w:rPr>
              <w:t>。</w:t>
            </w:r>
          </w:p>
          <w:p>
            <w:pPr>
              <w:spacing w:beforeLines="0" w:afterLines="0" w:line="555" w:lineRule="exact"/>
              <w:rPr>
                <w:rFonts w:hint="eastAsia" w:ascii="仿宋_GB2312" w:hAnsi="仿宋_GB2312" w:eastAsia="仿宋_GB2312"/>
                <w:sz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69"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rPr>
                <w:rFonts w:hint="default" w:ascii="华文仿宋" w:hAnsi="华文仿宋" w:eastAsia="华文仿宋"/>
                <w:sz w:val="32"/>
              </w:rPr>
            </w:pPr>
            <w:r>
              <w:rPr>
                <w:rFonts w:hint="eastAsia" w:ascii="黑体" w:hAnsi="黑体" w:eastAsia="黑体"/>
                <w:sz w:val="32"/>
              </w:rPr>
              <w:t>　　五、其他重要事项的情况说明</w:t>
            </w:r>
          </w:p>
          <w:p>
            <w:pPr>
              <w:spacing w:beforeLines="0" w:afterLines="0" w:line="555" w:lineRule="exact"/>
              <w:rPr>
                <w:rFonts w:hint="default" w:ascii="仿宋_GB2312" w:hAnsi="仿宋_GB2312" w:eastAsia="仿宋_GB2312"/>
                <w:sz w:val="32"/>
              </w:rPr>
            </w:pPr>
            <w:r>
              <w:rPr>
                <w:rFonts w:hint="eastAsia" w:ascii="华文仿宋" w:hAnsi="华文仿宋" w:eastAsia="华文仿宋"/>
                <w:sz w:val="32"/>
              </w:rPr>
              <w:t>　　</w:t>
            </w:r>
            <w:r>
              <w:rPr>
                <w:rFonts w:hint="eastAsia" w:ascii="楷体_GB2312" w:hAnsi="楷体_GB2312" w:eastAsia="楷体_GB2312"/>
                <w:sz w:val="32"/>
              </w:rPr>
              <w:t>（一）机关运行经费</w:t>
            </w:r>
          </w:p>
          <w:p>
            <w:pPr>
              <w:spacing w:beforeLines="0" w:afterLines="0" w:line="555" w:lineRule="exact"/>
              <w:ind w:firstLine="640"/>
              <w:rPr>
                <w:rFonts w:hint="eastAsia" w:ascii="仿宋_GB2312" w:hAnsi="仿宋_GB2312" w:eastAsia="仿宋_GB2312"/>
                <w:color w:val="auto"/>
                <w:sz w:val="32"/>
              </w:rPr>
            </w:pPr>
            <w:r>
              <w:rPr>
                <w:rFonts w:hint="eastAsia" w:ascii="仿宋_GB2312" w:hAnsi="仿宋_GB2312" w:eastAsia="仿宋_GB2312"/>
                <w:sz w:val="32"/>
              </w:rPr>
              <w:t>2023年厦门市民政局的机关运行经费</w:t>
            </w:r>
            <w:r>
              <w:rPr>
                <w:rFonts w:hint="eastAsia" w:ascii="仿宋_GB2312" w:hAnsi="仿宋_GB2312" w:eastAsia="仿宋_GB2312"/>
                <w:color w:val="auto"/>
                <w:sz w:val="32"/>
              </w:rPr>
              <w:t>财政拨款预算</w:t>
            </w:r>
            <w:r>
              <w:rPr>
                <w:rFonts w:hint="eastAsia" w:ascii="仿宋_GB2312" w:hAnsi="仿宋_GB2312" w:eastAsia="仿宋_GB2312"/>
                <w:color w:val="auto"/>
                <w:sz w:val="32"/>
                <w:lang w:val="en-US" w:eastAsia="zh-CN"/>
              </w:rPr>
              <w:t>434.84</w:t>
            </w:r>
            <w:r>
              <w:rPr>
                <w:rFonts w:hint="eastAsia" w:ascii="仿宋_GB2312" w:hAnsi="仿宋_GB2312" w:eastAsia="仿宋_GB2312"/>
                <w:color w:val="auto"/>
                <w:sz w:val="32"/>
              </w:rPr>
              <w:t>万元，比2022年预算增加</w:t>
            </w:r>
            <w:r>
              <w:rPr>
                <w:rFonts w:hint="eastAsia" w:ascii="仿宋_GB2312" w:hAnsi="仿宋_GB2312" w:eastAsia="仿宋_GB2312"/>
                <w:color w:val="auto"/>
                <w:sz w:val="32"/>
                <w:lang w:val="en-US" w:eastAsia="zh-CN"/>
              </w:rPr>
              <w:t>110.12</w:t>
            </w:r>
            <w:r>
              <w:rPr>
                <w:rFonts w:hint="eastAsia" w:ascii="仿宋_GB2312" w:hAnsi="仿宋_GB2312" w:eastAsia="仿宋_GB2312"/>
                <w:color w:val="auto"/>
                <w:sz w:val="32"/>
              </w:rPr>
              <w:t>万元，增长</w:t>
            </w:r>
            <w:r>
              <w:rPr>
                <w:rFonts w:hint="eastAsia" w:ascii="仿宋_GB2312" w:hAnsi="仿宋_GB2312" w:eastAsia="仿宋_GB2312"/>
                <w:color w:val="auto"/>
                <w:sz w:val="32"/>
                <w:lang w:val="en-US" w:eastAsia="zh-CN"/>
              </w:rPr>
              <w:t>33.91</w:t>
            </w:r>
            <w:r>
              <w:rPr>
                <w:rFonts w:hint="eastAsia" w:ascii="仿宋_GB2312" w:hAnsi="仿宋_GB2312" w:eastAsia="仿宋_GB2312"/>
                <w:color w:val="auto"/>
                <w:sz w:val="32"/>
              </w:rPr>
              <w:t>%。</w:t>
            </w:r>
          </w:p>
          <w:p>
            <w:pPr>
              <w:spacing w:beforeLines="0" w:afterLines="0" w:line="555" w:lineRule="exact"/>
              <w:rPr>
                <w:rFonts w:hint="default" w:ascii="仿宋_GB2312" w:hAnsi="仿宋_GB2312" w:eastAsia="仿宋_GB2312"/>
                <w:sz w:val="32"/>
              </w:rPr>
            </w:pPr>
            <w:r>
              <w:rPr>
                <w:rFonts w:hint="eastAsia" w:ascii="华文仿宋" w:hAnsi="华文仿宋" w:eastAsia="华文仿宋"/>
                <w:sz w:val="32"/>
              </w:rPr>
              <w:t>　　</w:t>
            </w:r>
            <w:r>
              <w:rPr>
                <w:rFonts w:hint="eastAsia" w:ascii="楷体_GB2312" w:hAnsi="楷体_GB2312" w:eastAsia="楷体_GB2312"/>
                <w:sz w:val="32"/>
              </w:rPr>
              <w:t>（二）政府采购情况</w:t>
            </w:r>
          </w:p>
          <w:p>
            <w:pPr>
              <w:spacing w:beforeLines="0" w:afterLines="0" w:line="555" w:lineRule="exact"/>
              <w:ind w:firstLine="640"/>
              <w:rPr>
                <w:rFonts w:hint="eastAsia" w:ascii="仿宋_GB2312" w:hAnsi="仿宋_GB2312" w:eastAsia="仿宋_GB2312"/>
                <w:sz w:val="32"/>
              </w:rPr>
            </w:pPr>
            <w:r>
              <w:rPr>
                <w:rFonts w:hint="eastAsia" w:ascii="仿宋_GB2312" w:hAnsi="仿宋_GB2312" w:eastAsia="仿宋_GB2312"/>
                <w:sz w:val="32"/>
              </w:rPr>
              <w:t>2023年厦门市民政局</w:t>
            </w:r>
            <w:r>
              <w:rPr>
                <w:rFonts w:hint="eastAsia" w:ascii="仿宋_GB2312" w:hAnsi="仿宋_GB2312" w:eastAsia="仿宋_GB2312"/>
                <w:sz w:val="32"/>
                <w:lang w:eastAsia="zh-CN"/>
              </w:rPr>
              <w:t>机关</w:t>
            </w:r>
            <w:r>
              <w:rPr>
                <w:rFonts w:hint="eastAsia" w:ascii="仿宋_GB2312" w:hAnsi="仿宋_GB2312" w:eastAsia="仿宋_GB2312"/>
                <w:sz w:val="32"/>
              </w:rPr>
              <w:t>政府采购预算总额11.06万元，其中：政府采购货物预算11.06万元，政府采购工程预算0.00万元，政府采购服务预算0.00万元。</w:t>
            </w:r>
          </w:p>
          <w:p>
            <w:pPr>
              <w:spacing w:beforeLines="0" w:afterLines="0" w:line="555" w:lineRule="exact"/>
              <w:rPr>
                <w:rFonts w:hint="default" w:ascii="仿宋_GB2312" w:hAnsi="仿宋_GB2312" w:eastAsia="仿宋_GB2312"/>
                <w:sz w:val="32"/>
              </w:rPr>
            </w:pPr>
            <w:r>
              <w:rPr>
                <w:rFonts w:hint="eastAsia" w:ascii="楷体_GB2312" w:hAnsi="楷体_GB2312" w:eastAsia="楷体_GB2312"/>
                <w:sz w:val="32"/>
              </w:rPr>
              <w:t>　　（三）国有资产占有使用情况</w:t>
            </w:r>
          </w:p>
          <w:p>
            <w:pPr>
              <w:spacing w:beforeLines="0" w:afterLines="0" w:line="555" w:lineRule="exact"/>
              <w:rPr>
                <w:rFonts w:hint="default" w:ascii="楷体_GB2312" w:hAnsi="楷体_GB2312" w:eastAsia="楷体_GB2312"/>
                <w:color w:val="auto"/>
                <w:sz w:val="32"/>
              </w:rPr>
            </w:pPr>
            <w:r>
              <w:rPr>
                <w:rFonts w:hint="eastAsia" w:ascii="仿宋_GB2312" w:hAnsi="仿宋_GB2312" w:eastAsia="仿宋_GB2312"/>
                <w:sz w:val="32"/>
              </w:rPr>
              <w:t>　　截至2022年1</w:t>
            </w:r>
            <w:r>
              <w:rPr>
                <w:rFonts w:hint="eastAsia" w:ascii="仿宋_GB2312" w:hAnsi="仿宋_GB2312" w:eastAsia="仿宋_GB2312"/>
                <w:color w:val="auto"/>
                <w:sz w:val="32"/>
              </w:rPr>
              <w:t>2月31日，厦门市民政局</w:t>
            </w:r>
            <w:r>
              <w:rPr>
                <w:rFonts w:hint="eastAsia" w:ascii="仿宋_GB2312" w:hAnsi="仿宋_GB2312" w:eastAsia="仿宋_GB2312"/>
                <w:color w:val="auto"/>
                <w:sz w:val="32"/>
                <w:lang w:eastAsia="zh-CN"/>
              </w:rPr>
              <w:t>机关</w:t>
            </w:r>
            <w:r>
              <w:rPr>
                <w:rFonts w:hint="eastAsia" w:ascii="仿宋_GB2312" w:hAnsi="仿宋_GB2312" w:eastAsia="仿宋_GB2312"/>
                <w:color w:val="auto"/>
                <w:sz w:val="32"/>
              </w:rPr>
              <w:t>共有车辆</w:t>
            </w:r>
            <w:r>
              <w:rPr>
                <w:rFonts w:hint="eastAsia" w:ascii="仿宋_GB2312" w:hAnsi="仿宋_GB2312" w:eastAsia="仿宋_GB2312"/>
                <w:color w:val="auto"/>
                <w:sz w:val="32"/>
                <w:lang w:val="en-US" w:eastAsia="zh-CN"/>
              </w:rPr>
              <w:t>0</w:t>
            </w:r>
            <w:r>
              <w:rPr>
                <w:rFonts w:hint="eastAsia" w:ascii="仿宋_GB2312" w:hAnsi="仿宋_GB2312" w:eastAsia="仿宋_GB2312"/>
                <w:color w:val="auto"/>
                <w:sz w:val="32"/>
              </w:rPr>
              <w:t>辆，单位价值50万以上通用设备</w:t>
            </w:r>
            <w:r>
              <w:rPr>
                <w:rFonts w:hint="eastAsia" w:ascii="仿宋_GB2312" w:hAnsi="仿宋_GB2312" w:eastAsia="仿宋_GB2312"/>
                <w:color w:val="auto"/>
                <w:sz w:val="32"/>
                <w:lang w:val="en-US" w:eastAsia="zh-CN"/>
              </w:rPr>
              <w:t>0</w:t>
            </w:r>
            <w:r>
              <w:rPr>
                <w:rFonts w:hint="eastAsia" w:ascii="仿宋_GB2312" w:hAnsi="仿宋_GB2312" w:eastAsia="仿宋_GB2312"/>
                <w:color w:val="auto"/>
                <w:sz w:val="32"/>
              </w:rPr>
              <w:t>台（套），单位价值100万以上专用设备</w:t>
            </w:r>
            <w:r>
              <w:rPr>
                <w:rFonts w:hint="eastAsia" w:ascii="仿宋_GB2312" w:hAnsi="仿宋_GB2312" w:eastAsia="仿宋_GB2312"/>
                <w:color w:val="auto"/>
                <w:sz w:val="32"/>
                <w:lang w:val="en-US" w:eastAsia="zh-CN"/>
              </w:rPr>
              <w:t>0</w:t>
            </w:r>
            <w:r>
              <w:rPr>
                <w:rFonts w:hint="eastAsia" w:ascii="仿宋_GB2312" w:hAnsi="仿宋_GB2312" w:eastAsia="仿宋_GB2312"/>
                <w:color w:val="auto"/>
                <w:sz w:val="32"/>
              </w:rPr>
              <w:t>台（套）。</w:t>
            </w:r>
          </w:p>
          <w:p>
            <w:pPr>
              <w:spacing w:beforeLines="0" w:afterLines="0" w:line="555" w:lineRule="exact"/>
              <w:rPr>
                <w:rFonts w:hint="default" w:ascii="仿宋_GB2312" w:hAnsi="仿宋_GB2312" w:eastAsia="仿宋_GB2312"/>
                <w:sz w:val="32"/>
              </w:rPr>
            </w:pPr>
            <w:r>
              <w:rPr>
                <w:rFonts w:hint="eastAsia" w:ascii="楷体_GB2312" w:hAnsi="楷体_GB2312" w:eastAsia="楷体_GB2312"/>
                <w:sz w:val="32"/>
              </w:rPr>
              <w:t>　　（四）绩效目标设置情况</w:t>
            </w:r>
          </w:p>
          <w:p>
            <w:pPr>
              <w:spacing w:beforeLines="0" w:afterLines="0" w:line="555" w:lineRule="exact"/>
              <w:rPr>
                <w:rFonts w:hint="eastAsia" w:ascii="仿宋_GB2312" w:hAnsi="仿宋_GB2312" w:eastAsia="仿宋_GB2312"/>
                <w:sz w:val="32"/>
              </w:rPr>
            </w:pPr>
            <w:r>
              <w:rPr>
                <w:rFonts w:hint="eastAsia" w:ascii="仿宋_GB2312" w:hAnsi="仿宋_GB2312" w:eastAsia="仿宋_GB2312"/>
                <w:sz w:val="32"/>
              </w:rPr>
              <w:t>　　厦门市民政局2023年实行绩效目标管理的二级项目19个，涉及一般公共预算拨款21,829.56万元、政府性基金预算拨款5,607.15万元。</w:t>
            </w:r>
            <w:bookmarkStart w:id="1" w:name="_GoBack"/>
            <w:bookmarkEnd w:id="1"/>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1"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ind w:left="20"/>
              <w:jc w:val="center"/>
              <w:rPr>
                <w:rFonts w:hint="eastAsia" w:ascii="黑体" w:hAnsi="黑体" w:eastAsia="黑体"/>
                <w:sz w:val="32"/>
              </w:rPr>
            </w:pPr>
            <w:r>
              <w:rPr>
                <w:rFonts w:hint="eastAsia" w:ascii="黑体" w:hAnsi="黑体" w:eastAsia="黑体"/>
                <w:sz w:val="32"/>
              </w:rPr>
              <w:t>第三部分  名词解释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31"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rPr>
                <w:rFonts w:hint="default" w:ascii="楷体_GB2312" w:hAnsi="楷体_GB2312" w:eastAsia="楷体_GB2312"/>
                <w:sz w:val="32"/>
              </w:rPr>
            </w:pPr>
            <w:r>
              <w:rPr>
                <w:rFonts w:hint="eastAsia" w:ascii="楷体_GB2312" w:hAnsi="楷体_GB2312" w:eastAsia="楷体_GB2312"/>
                <w:sz w:val="32"/>
              </w:rPr>
              <w:t>　　一、基本支出</w:t>
            </w:r>
            <w:r>
              <w:rPr>
                <w:rFonts w:hint="eastAsia" w:ascii="楷体" w:hAnsi="楷体" w:eastAsia="楷体"/>
                <w:sz w:val="32"/>
              </w:rPr>
              <w:t>：</w:t>
            </w:r>
            <w:r>
              <w:rPr>
                <w:rFonts w:hint="eastAsia" w:ascii="仿宋_GB2312" w:hAnsi="仿宋_GB2312" w:eastAsia="仿宋_GB2312"/>
                <w:sz w:val="32"/>
              </w:rPr>
              <w:t>指为保障机构正常运转、完成日常工作任务而发生的人员支出、对个人和家庭的补助支出和公用支出。</w:t>
            </w:r>
          </w:p>
          <w:p>
            <w:pPr>
              <w:spacing w:beforeLines="0" w:afterLines="0" w:line="555" w:lineRule="exact"/>
              <w:rPr>
                <w:rFonts w:hint="default" w:ascii="楷体_GB2312" w:hAnsi="楷体_GB2312" w:eastAsia="楷体_GB2312"/>
                <w:sz w:val="32"/>
              </w:rPr>
            </w:pPr>
            <w:r>
              <w:rPr>
                <w:rFonts w:hint="eastAsia" w:ascii="楷体_GB2312" w:hAnsi="楷体_GB2312" w:eastAsia="楷体_GB2312"/>
                <w:sz w:val="32"/>
              </w:rPr>
              <w:t>　　二、项目支出：</w:t>
            </w:r>
            <w:r>
              <w:rPr>
                <w:rFonts w:hint="eastAsia" w:ascii="仿宋_GB2312" w:hAnsi="仿宋_GB2312" w:eastAsia="仿宋_GB2312"/>
                <w:sz w:val="32"/>
              </w:rPr>
              <w:t>指在基本支出之外为完成特定行政任务和事业发展目标所发生的支出，包括部门专项、发展经费和基建项目。</w:t>
            </w:r>
          </w:p>
          <w:p>
            <w:pPr>
              <w:spacing w:beforeLines="0" w:afterLines="0" w:line="555" w:lineRule="exact"/>
              <w:rPr>
                <w:rFonts w:hint="default" w:ascii="楷体_GB2312" w:hAnsi="楷体_GB2312" w:eastAsia="楷体_GB2312"/>
                <w:sz w:val="32"/>
              </w:rPr>
            </w:pPr>
            <w:r>
              <w:rPr>
                <w:rFonts w:hint="eastAsia" w:ascii="楷体_GB2312" w:hAnsi="楷体_GB2312" w:eastAsia="楷体_GB2312"/>
                <w:sz w:val="32"/>
              </w:rPr>
              <w:t>　　三、“三公”经费：</w:t>
            </w:r>
            <w:r>
              <w:rPr>
                <w:rFonts w:hint="eastAsia" w:ascii="仿宋_GB2312" w:hAnsi="仿宋_GB2312" w:eastAsia="仿宋_GB2312"/>
                <w:sz w:val="32"/>
              </w:rPr>
              <w:t>纳入财政预决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燃料费、维修费、过路过桥费、保险费、安全奖励费用等支出；公务接待费反映单位按规定开支的各类公务接待（含外宾接待）支出。</w:t>
            </w:r>
          </w:p>
          <w:p>
            <w:pPr>
              <w:spacing w:beforeLines="0" w:afterLines="0" w:line="555" w:lineRule="exact"/>
              <w:rPr>
                <w:rFonts w:hint="default" w:ascii="楷体_GB2312" w:hAnsi="楷体_GB2312" w:eastAsia="楷体_GB2312"/>
                <w:sz w:val="32"/>
              </w:rPr>
            </w:pPr>
            <w:r>
              <w:rPr>
                <w:rFonts w:hint="eastAsia" w:ascii="楷体_GB2312" w:hAnsi="楷体_GB2312" w:eastAsia="楷体_GB2312"/>
                <w:sz w:val="32"/>
              </w:rPr>
              <w:t>　　四、机关运行经费：</w:t>
            </w:r>
            <w:r>
              <w:rPr>
                <w:rFonts w:hint="eastAsia" w:ascii="仿宋_GB2312" w:hAnsi="仿宋_GB2312" w:eastAsia="仿宋_GB2312"/>
                <w:sz w:val="32"/>
              </w:rPr>
              <w:t>为保障行政单位（包括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pPr>
              <w:spacing w:beforeLines="0" w:afterLines="0" w:line="555" w:lineRule="exact"/>
              <w:rPr>
                <w:rFonts w:hint="eastAsia" w:ascii="仿宋_GB2312" w:hAnsi="仿宋_GB2312" w:eastAsia="仿宋_GB2312"/>
                <w:sz w:val="32"/>
              </w:rPr>
            </w:pPr>
            <w:r>
              <w:rPr>
                <w:rFonts w:hint="eastAsia" w:ascii="楷体_GB2312" w:hAnsi="楷体_GB2312" w:eastAsia="楷体_GB2312"/>
                <w:sz w:val="32"/>
              </w:rPr>
              <w:t>　　五、其他名词解释。</w:t>
            </w:r>
            <w:r>
              <w:rPr>
                <w:rFonts w:hint="eastAsia" w:ascii="仿宋_GB2312" w:hAnsi="仿宋_GB2312" w:eastAsia="仿宋_GB2312"/>
                <w:sz w:val="32"/>
              </w:rPr>
              <w:t>由各单位根据实际情况予以增加说明。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1"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55" w:lineRule="exact"/>
              <w:ind w:left="20"/>
              <w:jc w:val="center"/>
              <w:rPr>
                <w:rFonts w:hint="eastAsia" w:ascii="黑体" w:hAnsi="黑体" w:eastAsia="黑体"/>
                <w:sz w:val="32"/>
              </w:rPr>
            </w:pPr>
            <w:r>
              <w:rPr>
                <w:rFonts w:hint="eastAsia" w:ascii="黑体" w:hAnsi="黑体" w:eastAsia="黑体"/>
                <w:sz w:val="32"/>
              </w:rPr>
              <w:t>第四部分  2023年单位预算附表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91" w:hRule="atLeast"/>
        </w:trPr>
        <w:tc>
          <w:tcPr>
            <w:tcW w:w="8682"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540" w:lineRule="exact"/>
              <w:rPr>
                <w:rFonts w:hint="default" w:ascii="仿宋_GB2312" w:hAnsi="仿宋_GB2312" w:eastAsia="仿宋_GB2312"/>
                <w:sz w:val="32"/>
              </w:rPr>
            </w:pPr>
            <w:r>
              <w:rPr>
                <w:rFonts w:hint="eastAsia" w:ascii="仿宋_GB2312" w:hAnsi="仿宋_GB2312" w:eastAsia="仿宋_GB2312"/>
                <w:sz w:val="32"/>
              </w:rPr>
              <w:t>　　一、部门收支预算总体情况表</w:t>
            </w:r>
          </w:p>
          <w:p>
            <w:pPr>
              <w:spacing w:beforeLines="0" w:afterLines="0" w:line="540" w:lineRule="exact"/>
              <w:rPr>
                <w:rFonts w:hint="default" w:ascii="仿宋_GB2312" w:hAnsi="仿宋_GB2312" w:eastAsia="仿宋_GB2312"/>
                <w:sz w:val="32"/>
              </w:rPr>
            </w:pPr>
            <w:r>
              <w:rPr>
                <w:rFonts w:hint="eastAsia" w:ascii="仿宋_GB2312" w:hAnsi="仿宋_GB2312" w:eastAsia="仿宋_GB2312"/>
                <w:sz w:val="32"/>
              </w:rPr>
              <w:t>　　二、部门收入预算总体情况表</w:t>
            </w:r>
          </w:p>
          <w:p>
            <w:pPr>
              <w:spacing w:beforeLines="0" w:afterLines="0" w:line="540" w:lineRule="exact"/>
              <w:rPr>
                <w:rFonts w:hint="default" w:ascii="仿宋_GB2312" w:hAnsi="仿宋_GB2312" w:eastAsia="仿宋_GB2312"/>
                <w:sz w:val="32"/>
              </w:rPr>
            </w:pPr>
            <w:r>
              <w:rPr>
                <w:rFonts w:hint="eastAsia" w:ascii="仿宋_GB2312" w:hAnsi="仿宋_GB2312" w:eastAsia="仿宋_GB2312"/>
                <w:sz w:val="32"/>
              </w:rPr>
              <w:t>　　三、部门支出预算总体情况表</w:t>
            </w:r>
          </w:p>
          <w:p>
            <w:pPr>
              <w:spacing w:beforeLines="0" w:afterLines="0" w:line="540" w:lineRule="exact"/>
              <w:rPr>
                <w:rFonts w:hint="default" w:ascii="仿宋_GB2312" w:hAnsi="仿宋_GB2312" w:eastAsia="仿宋_GB2312"/>
                <w:sz w:val="32"/>
              </w:rPr>
            </w:pPr>
            <w:r>
              <w:rPr>
                <w:rFonts w:hint="eastAsia" w:ascii="仿宋_GB2312" w:hAnsi="仿宋_GB2312" w:eastAsia="仿宋_GB2312"/>
                <w:sz w:val="32"/>
              </w:rPr>
              <w:t>　　四、财政拨款收支预算总体情况表</w:t>
            </w:r>
          </w:p>
          <w:p>
            <w:pPr>
              <w:spacing w:beforeLines="0" w:afterLines="0" w:line="540" w:lineRule="exact"/>
              <w:rPr>
                <w:rFonts w:hint="default" w:ascii="仿宋_GB2312" w:hAnsi="仿宋_GB2312" w:eastAsia="仿宋_GB2312"/>
                <w:sz w:val="32"/>
              </w:rPr>
            </w:pPr>
            <w:r>
              <w:rPr>
                <w:rFonts w:hint="eastAsia" w:ascii="仿宋_GB2312" w:hAnsi="仿宋_GB2312" w:eastAsia="仿宋_GB2312"/>
                <w:sz w:val="32"/>
              </w:rPr>
              <w:t>　　五、一般公共预算支出情况表</w:t>
            </w:r>
          </w:p>
          <w:p>
            <w:pPr>
              <w:spacing w:beforeLines="0" w:afterLines="0" w:line="540" w:lineRule="exact"/>
              <w:rPr>
                <w:rFonts w:hint="default" w:ascii="仿宋_GB2312" w:hAnsi="仿宋_GB2312" w:eastAsia="仿宋_GB2312"/>
                <w:sz w:val="32"/>
              </w:rPr>
            </w:pPr>
            <w:r>
              <w:rPr>
                <w:rFonts w:hint="eastAsia" w:ascii="仿宋_GB2312" w:hAnsi="仿宋_GB2312" w:eastAsia="仿宋_GB2312"/>
                <w:sz w:val="32"/>
              </w:rPr>
              <w:t>　　六、一般公共预算基本支出情况表（经济分类款级科目）</w:t>
            </w:r>
          </w:p>
          <w:p>
            <w:pPr>
              <w:spacing w:beforeLines="0" w:afterLines="0" w:line="540" w:lineRule="exact"/>
              <w:rPr>
                <w:rFonts w:hint="default" w:ascii="仿宋_GB2312" w:hAnsi="仿宋_GB2312" w:eastAsia="仿宋_GB2312"/>
                <w:sz w:val="32"/>
              </w:rPr>
            </w:pPr>
            <w:r>
              <w:rPr>
                <w:rFonts w:hint="eastAsia" w:ascii="仿宋_GB2312" w:hAnsi="仿宋_GB2312" w:eastAsia="仿宋_GB2312"/>
                <w:sz w:val="32"/>
              </w:rPr>
              <w:t>　　七、一般公共预算“三公”经费支出情况表</w:t>
            </w:r>
          </w:p>
          <w:p>
            <w:pPr>
              <w:spacing w:beforeLines="0" w:afterLines="0" w:line="540" w:lineRule="exact"/>
              <w:rPr>
                <w:rFonts w:hint="default" w:ascii="仿宋_GB2312" w:hAnsi="仿宋_GB2312" w:eastAsia="仿宋_GB2312"/>
                <w:sz w:val="32"/>
              </w:rPr>
            </w:pPr>
            <w:r>
              <w:rPr>
                <w:rFonts w:hint="eastAsia" w:ascii="仿宋_GB2312" w:hAnsi="仿宋_GB2312" w:eastAsia="仿宋_GB2312"/>
                <w:sz w:val="32"/>
              </w:rPr>
              <w:t>　　八、政府性基金预算支出情况表</w:t>
            </w:r>
          </w:p>
          <w:p>
            <w:pPr>
              <w:spacing w:beforeLines="0" w:afterLines="0" w:line="540" w:lineRule="exact"/>
              <w:rPr>
                <w:rFonts w:hint="default" w:ascii="仿宋" w:hAnsi="仿宋" w:eastAsia="仿宋"/>
                <w:sz w:val="32"/>
              </w:rPr>
            </w:pPr>
            <w:r>
              <w:rPr>
                <w:rFonts w:hint="eastAsia" w:ascii="仿宋_GB2312" w:hAnsi="仿宋_GB2312" w:eastAsia="仿宋_GB2312"/>
                <w:sz w:val="32"/>
              </w:rPr>
              <w:t>　　九、市对区转移支付项目支出预算表</w:t>
            </w:r>
          </w:p>
          <w:p>
            <w:pPr>
              <w:spacing w:beforeLines="0" w:afterLines="0" w:line="540" w:lineRule="exact"/>
              <w:rPr>
                <w:rFonts w:hint="default" w:ascii="仿宋" w:hAnsi="仿宋" w:eastAsia="仿宋"/>
                <w:sz w:val="32"/>
              </w:rPr>
            </w:pPr>
            <w:r>
              <w:rPr>
                <w:rFonts w:hint="eastAsia" w:ascii="黑体" w:hAnsi="黑体" w:eastAsia="黑体"/>
                <w:sz w:val="32"/>
              </w:rPr>
              <w:t>　　（以上没有数据的表格也要列出空表并作出说明）</w:t>
            </w:r>
          </w:p>
          <w:p>
            <w:pPr>
              <w:spacing w:beforeLines="0" w:afterLines="0" w:line="540" w:lineRule="exact"/>
              <w:rPr>
                <w:rFonts w:hint="eastAsia" w:ascii="仿宋_GB2312" w:hAnsi="仿宋_GB2312" w:eastAsia="仿宋_GB2312"/>
                <w:sz w:val="32"/>
              </w:rPr>
            </w:pPr>
            <w:r>
              <w:rPr>
                <w:rFonts w:hint="eastAsia" w:ascii="仿宋_GB2312" w:hAnsi="仿宋_GB2312" w:eastAsia="仿宋_GB2312"/>
                <w:sz w:val="32"/>
              </w:rPr>
              <w:t>　　十、二级项目绩效目标表</w:t>
            </w:r>
          </w:p>
        </w:tc>
      </w:tr>
    </w:tbl>
    <w:p/>
    <w:sectPr>
      <w:footerReference r:id="rId4" w:type="default"/>
      <w:pgSz w:w="11905" w:h="16837"/>
      <w:pgMar w:top="1388" w:right="1559" w:bottom="1388" w:left="1559"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roman"/>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仿宋_GB2312">
    <w:altName w:val="仿宋"/>
    <w:panose1 w:val="02010609030101010101"/>
    <w:charset w:val="86"/>
    <w:family w:val="roman"/>
    <w:pitch w:val="default"/>
    <w:sig w:usb0="00000000" w:usb1="00000000" w:usb2="00000000" w:usb3="00000000" w:csb0="00040000" w:csb1="00000000"/>
  </w:font>
  <w:font w:name="FangSong_GB2312">
    <w:altName w:val="仿宋"/>
    <w:panose1 w:val="00000000000000000000"/>
    <w:charset w:val="00"/>
    <w:family w:val="roman"/>
    <w:pitch w:val="default"/>
    <w:sig w:usb0="00000000" w:usb1="00000000" w:usb2="00000000" w:usb3="00000000" w:csb0="00000001" w:csb1="00000000"/>
  </w:font>
  <w:font w:name="楷体_GB2312">
    <w:altName w:val="楷体"/>
    <w:panose1 w:val="00000000000000000000"/>
    <w:charset w:val="86"/>
    <w:family w:val="roman"/>
    <w:pitch w:val="default"/>
    <w:sig w:usb0="00000000" w:usb1="00000000" w:usb2="00000000" w:usb3="00000000" w:csb0="00040000" w:csb1="00000000"/>
  </w:font>
  <w:font w:name="楷体">
    <w:panose1 w:val="02010609060101010101"/>
    <w:charset w:val="86"/>
    <w:family w:val="roma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华文仿宋">
    <w:altName w:val="仿宋"/>
    <w:panose1 w:val="02010600040101010101"/>
    <w:charset w:val="86"/>
    <w:family w:val="roman"/>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94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163"/>
      <w:gridCol w:w="3163"/>
      <w:gridCol w:w="31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jc w:val="center"/>
      </w:trPr>
      <w:tc>
        <w:tcPr>
          <w:tcW w:w="3163" w:type="dxa"/>
          <w:tcBorders>
            <w:top w:val="nil"/>
            <w:left w:val="nil"/>
            <w:bottom w:val="nil"/>
            <w:right w:val="nil"/>
            <w:tl2br w:val="nil"/>
            <w:tr2bl w:val="nil"/>
          </w:tcBorders>
          <w:shd w:val="clear" w:color="auto" w:fill="FFFFFF"/>
          <w:noWrap w:val="0"/>
          <w:vAlign w:val="top"/>
        </w:tcPr>
        <w:p>
          <w:pPr>
            <w:spacing w:beforeLines="0" w:afterLines="0"/>
            <w:rPr>
              <w:rFonts w:hint="default"/>
              <w:sz w:val="24"/>
            </w:rPr>
          </w:pPr>
        </w:p>
      </w:tc>
      <w:tc>
        <w:tcPr>
          <w:tcW w:w="3163" w:type="dxa"/>
          <w:tcBorders>
            <w:top w:val="nil"/>
            <w:left w:val="nil"/>
            <w:bottom w:val="nil"/>
            <w:right w:val="nil"/>
            <w:tl2br w:val="nil"/>
            <w:tr2bl w:val="nil"/>
          </w:tcBorders>
          <w:shd w:val="clear" w:color="auto" w:fill="FFFFFF"/>
          <w:noWrap w:val="0"/>
          <w:vAlign w:val="top"/>
        </w:tcPr>
        <w:p>
          <w:pPr>
            <w:spacing w:beforeLines="0" w:afterLines="0" w:line="320" w:lineRule="atLeast"/>
            <w:jc w:val="center"/>
            <w:rPr>
              <w:rFonts w:hint="eastAsia" w:ascii="宋体" w:hAnsi="宋体" w:eastAsia="宋体"/>
              <w:sz w:val="18"/>
            </w:rPr>
          </w:pPr>
          <w:r>
            <w:rPr>
              <w:rFonts w:hint="eastAsia" w:ascii="宋体" w:hAnsi="宋体" w:eastAsia="宋体"/>
              <w:sz w:val="18"/>
            </w:rPr>
            <w:fldChar w:fldCharType="begin"/>
          </w:r>
          <w:r>
            <w:rPr>
              <w:rFonts w:hint="eastAsia" w:ascii="宋体" w:hAnsi="宋体" w:eastAsia="宋体"/>
              <w:sz w:val="18"/>
            </w:rPr>
            <w:instrText xml:space="preserve">PAGE</w:instrText>
          </w:r>
          <w:r>
            <w:rPr>
              <w:rFonts w:hint="eastAsia" w:ascii="宋体" w:hAnsi="宋体" w:eastAsia="宋体"/>
              <w:sz w:val="18"/>
            </w:rPr>
            <w:fldChar w:fldCharType="separate"/>
          </w:r>
          <w:r>
            <w:rPr>
              <w:rFonts w:hint="eastAsia" w:ascii="宋体" w:hAnsi="宋体" w:eastAsia="宋体"/>
              <w:sz w:val="18"/>
            </w:rPr>
            <w:t xml:space="preserve"> </w:t>
          </w:r>
          <w:r>
            <w:rPr>
              <w:rFonts w:hint="eastAsia" w:ascii="宋体" w:hAnsi="宋体" w:eastAsia="宋体"/>
              <w:sz w:val="18"/>
            </w:rPr>
            <w:fldChar w:fldCharType="end"/>
          </w:r>
          <w:r>
            <w:rPr>
              <w:rFonts w:hint="eastAsia" w:ascii="宋体" w:hAnsi="宋体" w:eastAsia="宋体"/>
              <w:sz w:val="18"/>
            </w:rPr>
            <w:t xml:space="preserve"> </w:t>
          </w:r>
        </w:p>
      </w:tc>
      <w:tc>
        <w:tcPr>
          <w:tcW w:w="3163" w:type="dxa"/>
          <w:tcBorders>
            <w:top w:val="nil"/>
            <w:left w:val="nil"/>
            <w:bottom w:val="nil"/>
            <w:right w:val="nil"/>
            <w:tl2br w:val="nil"/>
            <w:tr2bl w:val="nil"/>
          </w:tcBorders>
          <w:shd w:val="clear" w:color="auto" w:fill="FFFFFF"/>
          <w:noWrap w:val="0"/>
          <w:vAlign w:val="top"/>
        </w:tcPr>
        <w:p>
          <w:pPr>
            <w:spacing w:beforeLines="0" w:afterLines="0"/>
            <w:rPr>
              <w:rFonts w:hint="default"/>
              <w:sz w:val="24"/>
            </w:rPr>
          </w:pPr>
        </w:p>
      </w:tc>
    </w:tr>
  </w:tbl>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jMjllNDMzNzc4YjBhNDViYzc2NGM3ZGE4N2VmOWUifQ=="/>
  </w:docVars>
  <w:rsids>
    <w:rsidRoot w:val="00172A27"/>
    <w:rsid w:val="1180478F"/>
    <w:rsid w:val="19276C41"/>
    <w:rsid w:val="286B5D7E"/>
    <w:rsid w:val="46CE3131"/>
    <w:rsid w:val="5E3C6B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semiHidden="0" w:name="Normal"/>
    <w:lsdException w:qFormat="1" w:uiPriority="99" w:semiHidden="0" w:name="heading 1"/>
    <w:lsdException w:qFormat="1" w:uiPriority="99" w:semiHidden="0" w:name="heading 2"/>
    <w:lsdException w:uiPriority="99"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iPriority="99" w:name="Title"/>
    <w:lsdException w:uiPriority="99" w:name="Closing"/>
    <w:lsdException w:uiPriority="99" w:name="Signature"/>
    <w:lsdException w:uiPriority="99"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iPriority="99"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iPriority="99" w:name="Strong"/>
    <w:lsdException w:uiPriority="99"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rPr>
  </w:style>
  <w:style w:type="paragraph" w:styleId="4">
    <w:name w:val="heading 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paragraph" w:styleId="6">
    <w:name w:val="heading 3"/>
    <w:next w:val="1"/>
    <w:unhideWhenUsed/>
    <w:uiPriority w:val="99"/>
    <w:pPr>
      <w:widowControl w:val="0"/>
      <w:autoSpaceDE w:val="0"/>
      <w:autoSpaceDN w:val="0"/>
      <w:adjustRightInd w:val="0"/>
      <w:spacing w:beforeLines="0" w:afterLines="0"/>
    </w:pPr>
    <w:rPr>
      <w:rFonts w:hint="default" w:ascii="Arial" w:hAnsi="Arial" w:eastAsia="宋体" w:cs="Times New Roman"/>
      <w:b/>
      <w:color w:val="000000"/>
      <w:sz w:val="26"/>
    </w:rPr>
  </w:style>
  <w:style w:type="character" w:default="1" w:styleId="9">
    <w:name w:val="Default Paragraph Font"/>
    <w:semiHidden/>
    <w:unhideWhenUsed/>
    <w:uiPriority w:val="99"/>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w:basedOn w:val="1"/>
    <w:next w:val="3"/>
    <w:qFormat/>
    <w:uiPriority w:val="0"/>
    <w:pPr>
      <w:spacing w:before="0" w:after="140" w:line="276" w:lineRule="auto"/>
    </w:pPr>
  </w:style>
  <w:style w:type="paragraph" w:styleId="3">
    <w:name w:val="index 8"/>
    <w:basedOn w:val="1"/>
    <w:next w:val="1"/>
    <w:qFormat/>
    <w:uiPriority w:val="0"/>
    <w:pPr>
      <w:ind w:left="2940"/>
      <w:jc w:val="left"/>
    </w:pPr>
  </w:style>
  <w:style w:type="paragraph" w:styleId="7">
    <w:name w:val="Balloon Text"/>
    <w:basedOn w:val="1"/>
    <w:unhideWhenUsed/>
    <w:qFormat/>
    <w:uiPriority w:val="99"/>
    <w:rPr>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5178</Words>
  <Characters>5571</Characters>
  <TotalTime>8</TotalTime>
  <ScaleCrop>false</ScaleCrop>
  <LinksUpToDate>false</LinksUpToDate>
  <CharactersWithSpaces>5787</CharactersWithSpaces>
  <Application>WPS Office_11.1.0.13703_F1E327BC-269C-435d-A152-05C5408002CA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2023-02-17T02:38:00Z</dcterms:created>
  <dc:creator>Administrator</dc:creator>
  <cp:lastModifiedBy>wuyujia</cp:lastModifiedBy>
  <cp:lastPrinted>2023-02-20T08:52:49Z</cp:lastPrinted>
  <dcterms:modified xsi:type="dcterms:W3CDTF">2023-02-20T10:33:23Z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8D44F5E34C544A8CB90CB19ACAC5BB29</vt:lpwstr>
  </property>
</Properties>
</file>